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2017年度廊坊市大厂回族自治县</w:t>
      </w:r>
    </w:p>
    <w:p>
      <w:pPr>
        <w:widowControl/>
        <w:spacing w:line="50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val="en-US" w:eastAsia="zh-CN"/>
        </w:rPr>
        <w:t>民政</w:t>
      </w:r>
      <w:r>
        <w:rPr>
          <w:rFonts w:hint="eastAsia" w:ascii="方正小标宋简体" w:hAnsi="仿宋" w:eastAsia="方正小标宋简体"/>
          <w:sz w:val="44"/>
          <w:szCs w:val="44"/>
        </w:rPr>
        <w:t>局部门决算情况说明</w:t>
      </w:r>
    </w:p>
    <w:p>
      <w:pPr>
        <w:keepNext w:val="0"/>
        <w:keepLines w:val="0"/>
        <w:pageBreakBefore w:val="0"/>
        <w:widowControl/>
        <w:numPr>
          <w:ilvl w:val="0"/>
          <w:numId w:val="0"/>
        </w:numPr>
        <w:kinsoku/>
        <w:wordWrap/>
        <w:overflowPunct/>
        <w:topLinePunct w:val="0"/>
        <w:bidi w:val="0"/>
        <w:spacing w:line="584" w:lineRule="exact"/>
        <w:ind w:right="0" w:rightChars="0" w:firstLine="880" w:firstLineChars="200"/>
        <w:jc w:val="center"/>
        <w:textAlignment w:val="auto"/>
        <w:rPr>
          <w:rFonts w:hint="eastAsia" w:ascii="方正小标宋简体" w:hAnsi="仿宋" w:eastAsia="方正小标宋简体"/>
          <w:sz w:val="44"/>
          <w:szCs w:val="44"/>
        </w:rPr>
      </w:pPr>
    </w:p>
    <w:p>
      <w:pPr>
        <w:keepNext w:val="0"/>
        <w:keepLines w:val="0"/>
        <w:pageBreakBefore w:val="0"/>
        <w:widowControl/>
        <w:numPr>
          <w:ilvl w:val="0"/>
          <w:numId w:val="0"/>
        </w:numPr>
        <w:kinsoku/>
        <w:wordWrap/>
        <w:overflowPunct/>
        <w:topLinePunct w:val="0"/>
        <w:bidi w:val="0"/>
        <w:spacing w:line="584" w:lineRule="exact"/>
        <w:ind w:right="0" w:rightChars="0" w:firstLine="640" w:firstLineChars="200"/>
        <w:jc w:val="left"/>
        <w:textAlignment w:val="auto"/>
        <w:rPr>
          <w:rFonts w:ascii="仿宋" w:hAnsi="仿宋" w:eastAsia="仿宋" w:cs="Times New Roman"/>
          <w:sz w:val="32"/>
          <w:szCs w:val="32"/>
        </w:rPr>
      </w:pPr>
      <w:r>
        <w:rPr>
          <w:rFonts w:hint="eastAsia" w:ascii="仿宋_GB2312" w:hAnsi="仿宋_GB2312" w:eastAsia="仿宋_GB2312" w:cs="仿宋_GB2312"/>
          <w:sz w:val="32"/>
          <w:szCs w:val="32"/>
        </w:rPr>
        <w:t>按照《中华人民共和国预算法》、《河北省财政厅关于印发&lt;河北省预决算公开操作规程实施细则&gt;的通知》（冀财预﹝2016﹞129号）等规定，现将201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年部门决算公开如下：</w:t>
      </w:r>
    </w:p>
    <w:p>
      <w:pPr>
        <w:pStyle w:val="4"/>
        <w:shd w:val="clear" w:color="auto" w:fill="FFFFFF"/>
        <w:spacing w:before="0" w:beforeAutospacing="0" w:after="0" w:afterAutospacing="0" w:line="600" w:lineRule="exact"/>
        <w:ind w:firstLine="200"/>
        <w:jc w:val="center"/>
        <w:rPr>
          <w:rFonts w:ascii="黑体" w:hAnsi="黑体" w:eastAsia="黑体" w:cs="Times New Roman"/>
          <w:b/>
          <w:kern w:val="2"/>
          <w:sz w:val="32"/>
          <w:szCs w:val="32"/>
        </w:rPr>
      </w:pPr>
      <w:r>
        <w:rPr>
          <w:rFonts w:hint="eastAsia" w:ascii="黑体" w:hAnsi="黑体" w:eastAsia="黑体" w:cs="Times New Roman"/>
          <w:b/>
          <w:kern w:val="2"/>
          <w:sz w:val="32"/>
          <w:szCs w:val="32"/>
        </w:rPr>
        <w:t>第一部分  部门概况</w:t>
      </w:r>
    </w:p>
    <w:p>
      <w:pPr>
        <w:keepNext w:val="0"/>
        <w:keepLines w:val="0"/>
        <w:pageBreakBefore w:val="0"/>
        <w:kinsoku/>
        <w:wordWrap/>
        <w:overflowPunct/>
        <w:topLinePunct w:val="0"/>
        <w:bidi w:val="0"/>
        <w:snapToGrid/>
        <w:spacing w:line="600" w:lineRule="exact"/>
        <w:ind w:right="0" w:rightChars="0" w:firstLine="643" w:firstLineChars="200"/>
        <w:jc w:val="left"/>
        <w:textAlignment w:val="auto"/>
        <w:rPr>
          <w:rFonts w:hint="eastAsia" w:ascii="仿宋_GB2312" w:hAnsi="仿宋_GB2312" w:eastAsia="仿宋_GB2312" w:cs="仿宋_GB2312"/>
          <w:b/>
          <w:sz w:val="32"/>
          <w:szCs w:val="32"/>
        </w:rPr>
      </w:pPr>
      <w:r>
        <w:rPr>
          <w:rFonts w:hint="eastAsia" w:ascii="楷体" w:hAnsi="楷体" w:eastAsia="楷体" w:cs="楷体"/>
          <w:b/>
          <w:bCs w:val="0"/>
          <w:sz w:val="32"/>
          <w:szCs w:val="32"/>
          <w:lang w:val="en-US" w:eastAsia="zh-CN"/>
        </w:rPr>
        <w:t>一、</w:t>
      </w:r>
      <w:r>
        <w:rPr>
          <w:rFonts w:hint="eastAsia" w:ascii="楷体" w:hAnsi="楷体" w:eastAsia="楷体" w:cs="楷体"/>
          <w:b/>
          <w:bCs w:val="0"/>
          <w:sz w:val="32"/>
          <w:szCs w:val="32"/>
        </w:rPr>
        <w:t>部门职责</w:t>
      </w:r>
      <w:r>
        <w:rPr>
          <w:rFonts w:hint="eastAsia" w:ascii="楷体" w:hAnsi="楷体" w:eastAsia="楷体" w:cs="楷体"/>
          <w:b/>
          <w:sz w:val="32"/>
          <w:szCs w:val="32"/>
        </w:rPr>
        <w:t>：</w:t>
      </w:r>
    </w:p>
    <w:p>
      <w:pPr>
        <w:keepNext w:val="0"/>
        <w:keepLines w:val="0"/>
        <w:pageBreakBefore w:val="0"/>
        <w:kinsoku/>
        <w:wordWrap/>
        <w:overflowPunct/>
        <w:topLinePunct w:val="0"/>
        <w:bidi w:val="0"/>
        <w:snapToGrid/>
        <w:spacing w:line="480" w:lineRule="atLeast"/>
        <w:ind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大厂回族自治县民政局是县政府的重要职能部门之一，内设13个股室，下属单位3个，干部职工42人。主要担负着社会救助和社会福利、基层民主政治建设、服务军队和国防建设、管理专项社会事务等四大职能。具体负责城乡最低生活保障、救灾救济、城市社区建设、优待抚恤、退伍安置、婚姻登记、殡葬管理、行政区划、收养登记、民间组织管理、地名管理、社会福利事业、军队离退休干部管理服务和基层政权建设等项重要工作。</w:t>
      </w:r>
    </w:p>
    <w:p>
      <w:pPr>
        <w:keepNext w:val="0"/>
        <w:keepLines w:val="0"/>
        <w:pageBreakBefore w:val="0"/>
        <w:kinsoku/>
        <w:wordWrap/>
        <w:overflowPunct/>
        <w:topLinePunct w:val="0"/>
        <w:bidi w:val="0"/>
        <w:snapToGrid/>
        <w:spacing w:line="480" w:lineRule="atLeast"/>
        <w:ind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各部门职责：</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办公室：</w:t>
      </w:r>
      <w:r>
        <w:rPr>
          <w:rFonts w:hint="eastAsia" w:ascii="仿宋_GB2312" w:hAnsi="仿宋_GB2312" w:eastAsia="仿宋_GB2312" w:cs="仿宋_GB2312"/>
          <w:sz w:val="32"/>
          <w:szCs w:val="32"/>
        </w:rPr>
        <w:t>协助局领导协调处理政务工作和日常事务，起草综合性文件；拟定全县民政工作发展规划，编制全县民政事业发展计划，负责局机关公文运转和信息调研、信访、档案管理、机要保密办公自动化及会务工作；负责人大代表建议、政协委员提案的督察督办工作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安置办：</w:t>
      </w:r>
      <w:r>
        <w:rPr>
          <w:rFonts w:hint="eastAsia" w:ascii="仿宋_GB2312" w:hAnsi="仿宋_GB2312" w:eastAsia="仿宋_GB2312" w:cs="仿宋_GB2312"/>
          <w:sz w:val="32"/>
          <w:szCs w:val="32"/>
        </w:rPr>
        <w:t>负责退伍义务兵、转业士官和复</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 xml:space="preserve">干部的接收安置工作；、负责因伤病残退休士官和特、一等伤病残义务兵的接收安置以及管理服务工作；负责县安置办日常工作等。 </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军休所：</w:t>
      </w:r>
      <w:r>
        <w:rPr>
          <w:rFonts w:hint="eastAsia" w:ascii="仿宋_GB2312" w:hAnsi="仿宋_GB2312" w:eastAsia="仿宋_GB2312" w:cs="仿宋_GB2312"/>
          <w:sz w:val="32"/>
          <w:szCs w:val="32"/>
        </w:rPr>
        <w:t>为军队离退休干部服务，负责移交地方政府安置的军队离退休干部、军队无军籍退休退职职工，指导军队离退休干部休养所的服务管理工作接收离退休人员档案组织关系，核定工资，落实各项福利待遇等。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优抚股：</w:t>
      </w:r>
      <w:r>
        <w:rPr>
          <w:rFonts w:hint="eastAsia" w:ascii="仿宋_GB2312" w:hAnsi="仿宋_GB2312" w:eastAsia="仿宋_GB2312" w:cs="仿宋_GB2312"/>
          <w:sz w:val="32"/>
          <w:szCs w:val="32"/>
        </w:rPr>
        <w:t>负责全县</w:t>
      </w:r>
      <w:bookmarkStart w:id="0" w:name="_GoBack"/>
      <w:r>
        <w:rPr>
          <w:rFonts w:hint="eastAsia" w:ascii="仿宋_GB2312" w:hAnsi="仿宋_GB2312" w:eastAsia="仿宋_GB2312" w:cs="仿宋_GB2312"/>
          <w:sz w:val="32"/>
          <w:szCs w:val="32"/>
        </w:rPr>
        <w:t>各</w:t>
      </w:r>
      <w:bookmarkEnd w:id="0"/>
      <w:r>
        <w:rPr>
          <w:rFonts w:hint="eastAsia" w:ascii="仿宋_GB2312" w:hAnsi="仿宋_GB2312" w:eastAsia="仿宋_GB2312" w:cs="仿宋_GB2312"/>
          <w:sz w:val="32"/>
          <w:szCs w:val="32"/>
        </w:rPr>
        <w:t>类优抚对象优抚、抚恤、补助和国家机关工作人员伤残管理工作；负责革命烈士称号审核报批工作；负责革命烈士、因公伤亡人员和病故军人的一次性抚恤工作；承担全县双拥领导小组日常工作等。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救灾股：</w:t>
      </w:r>
      <w:r>
        <w:rPr>
          <w:rFonts w:hint="eastAsia" w:ascii="仿宋_GB2312" w:hAnsi="仿宋_GB2312" w:eastAsia="仿宋_GB2312" w:cs="仿宋_GB2312"/>
          <w:sz w:val="32"/>
          <w:szCs w:val="32"/>
        </w:rPr>
        <w:t>负责全县农村救灾工作和灾区生产自救、发放救灾款物工作；检查监督救灾款物使用情况；组织指导救灾捐赠工作，积极开展全县经常性社会捐助活动及救灾物资的仓储管理等。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低保股：</w:t>
      </w:r>
      <w:r>
        <w:rPr>
          <w:rFonts w:hint="eastAsia" w:ascii="仿宋_GB2312" w:hAnsi="仿宋_GB2312" w:eastAsia="仿宋_GB2312" w:cs="仿宋_GB2312"/>
          <w:sz w:val="32"/>
          <w:szCs w:val="32"/>
        </w:rPr>
        <w:t>负责低保政策、法规宣传工作，起草本县低保工作地方性规章和工作计划并组织实施；编制全县低保年度资金需求计划，指导、监督、检查全县低保制度实施情况，总结推广先进经验；负责低保对象的审核、审批工作，受理全县有关低保政策的咨询与投诉；制订全县低保工作人员培训计划并组织实施；负责全县低保统计汇总，档案管理；负责全县低保调查研究、协调与低保有关的相关部门的关系；负责城乡居民医疗救助工作，管理城乡居民医疗救助工作的申报、核查、审批、发证和资金发放工作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财务室：</w:t>
      </w:r>
      <w:r>
        <w:rPr>
          <w:rFonts w:hint="eastAsia" w:ascii="仿宋_GB2312" w:hAnsi="仿宋_GB2312" w:eastAsia="仿宋_GB2312" w:cs="仿宋_GB2312"/>
          <w:sz w:val="32"/>
          <w:szCs w:val="32"/>
        </w:rPr>
        <w:t>负责民政事业经费管理和监督检查，管理所属单位国有资产、财务和基建工作；负责所属单位内部财务年度预算审计和离任审计；编制和申报全县民政部门专项物资装备计划；负责民政系统的统计汇总表工作等。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老龄办：</w:t>
      </w:r>
      <w:r>
        <w:rPr>
          <w:rFonts w:hint="eastAsia" w:ascii="仿宋_GB2312" w:hAnsi="仿宋_GB2312" w:eastAsia="仿宋_GB2312" w:cs="仿宋_GB2312"/>
          <w:sz w:val="32"/>
          <w:szCs w:val="32"/>
        </w:rPr>
        <w:t>全县老龄组织建设，贯彻执行老年法，保障老年人的合法权益；负责检查指导老龄基层组织的活动开展情况；宣传尊老敬老好典型；负责老年人《优待证》发放工作；负责掌握全县老年人的年龄结构情况，并做好统计工作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婚姻登记处：</w:t>
      </w:r>
      <w:r>
        <w:rPr>
          <w:rFonts w:hint="eastAsia" w:ascii="仿宋_GB2312" w:hAnsi="仿宋_GB2312" w:eastAsia="仿宋_GB2312" w:cs="仿宋_GB2312"/>
          <w:sz w:val="32"/>
          <w:szCs w:val="32"/>
        </w:rPr>
        <w:t>负责办理婚姻登记、补发婚姻证、出具婚姻登记记录证明、撤销不合法的婚姻、宣传婚姻法律，倡导文明婚俗工作等。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地名办：</w:t>
      </w:r>
      <w:r>
        <w:rPr>
          <w:rFonts w:hint="eastAsia" w:ascii="仿宋_GB2312" w:hAnsi="仿宋_GB2312" w:eastAsia="仿宋_GB2312" w:cs="仿宋_GB2312"/>
          <w:sz w:val="32"/>
          <w:szCs w:val="32"/>
        </w:rPr>
        <w:t>负责全县行政区划名称，重要自然实体命名、更名的申报和审批工作；依法规范全县城乡地名标志设置和管理；组织指导推行全县地名标准化、信息化建设，图书资料编辑和审定；负责县际边界勘定和县际边界争议调处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建政股：</w:t>
      </w:r>
      <w:r>
        <w:rPr>
          <w:rFonts w:hint="eastAsia" w:ascii="仿宋_GB2312" w:hAnsi="仿宋_GB2312" w:eastAsia="仿宋_GB2312" w:cs="仿宋_GB2312"/>
          <w:sz w:val="32"/>
          <w:szCs w:val="32"/>
        </w:rPr>
        <w:t>指导全县村委会、居委会等自治组织建设和有关人员培训工作，推进村务公开和村民委员会民主选举、民主决策、民主管理、民主监督工作；指导社区建设和社区服务工作，推动社区建设发展等。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社会事务股：</w:t>
      </w:r>
      <w:r>
        <w:rPr>
          <w:rFonts w:hint="eastAsia" w:ascii="仿宋_GB2312" w:hAnsi="仿宋_GB2312" w:eastAsia="仿宋_GB2312" w:cs="仿宋_GB2312"/>
          <w:sz w:val="32"/>
          <w:szCs w:val="32"/>
        </w:rPr>
        <w:t>负责草拟社会福利事业发展规划；草拟政府对福利单位的资助办法；拟订殡葬改革规章制度和管理办法，推行殡葬改革；负责全县国内收养工作，协办涉外送养登记；负责县内的收容遣送工作等。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社团：</w:t>
      </w:r>
      <w:r>
        <w:rPr>
          <w:rFonts w:hint="eastAsia" w:ascii="仿宋_GB2312" w:hAnsi="仿宋_GB2312" w:eastAsia="仿宋_GB2312" w:cs="仿宋_GB2312"/>
          <w:sz w:val="32"/>
          <w:szCs w:val="32"/>
        </w:rPr>
        <w:t>负责全县社会团体、民办非企业组织的审批登记和年度检查；查处民办非企业单位的违法行为和未经登记的民办非企业单位等工作。</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敬老院：</w:t>
      </w:r>
      <w:r>
        <w:rPr>
          <w:rFonts w:hint="eastAsia" w:ascii="仿宋_GB2312" w:hAnsi="仿宋_GB2312" w:eastAsia="仿宋_GB2312" w:cs="仿宋_GB2312"/>
          <w:sz w:val="32"/>
          <w:szCs w:val="32"/>
        </w:rPr>
        <w:t>五保老人集中供养机构，接收靠福利救济或低收入的老人以及对孤儿的救助等。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光荣院:</w:t>
      </w:r>
      <w:r>
        <w:rPr>
          <w:rFonts w:hint="eastAsia" w:ascii="仿宋_GB2312" w:hAnsi="仿宋_GB2312" w:eastAsia="仿宋_GB2312" w:cs="仿宋_GB2312"/>
          <w:sz w:val="32"/>
          <w:szCs w:val="32"/>
        </w:rPr>
        <w:t>负责收养烈士家属，病故军人家属、复退伤残军属等优抚对象等。</w:t>
      </w:r>
    </w:p>
    <w:p>
      <w:pPr>
        <w:keepNext w:val="0"/>
        <w:keepLines w:val="0"/>
        <w:pageBreakBefore w:val="0"/>
        <w:kinsoku/>
        <w:wordWrap/>
        <w:overflowPunct/>
        <w:topLinePunct w:val="0"/>
        <w:bidi w:val="0"/>
        <w:snapToGrid/>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殡葬管理所：</w:t>
      </w:r>
      <w:r>
        <w:rPr>
          <w:rFonts w:hint="eastAsia" w:ascii="仿宋_GB2312" w:hAnsi="仿宋_GB2312" w:eastAsia="仿宋_GB2312" w:cs="仿宋_GB2312"/>
          <w:sz w:val="32"/>
          <w:szCs w:val="32"/>
        </w:rPr>
        <w:t>进行殡改宣传，搞好殡仪服务，对殡葬违法行为进行处罚等。</w:t>
      </w:r>
    </w:p>
    <w:p>
      <w:pPr>
        <w:keepNext w:val="0"/>
        <w:keepLines w:val="0"/>
        <w:pageBreakBefore w:val="0"/>
        <w:kinsoku/>
        <w:wordWrap/>
        <w:overflowPunct/>
        <w:topLinePunct w:val="0"/>
        <w:bidi w:val="0"/>
        <w:snapToGrid/>
        <w:spacing w:line="560" w:lineRule="exact"/>
        <w:ind w:left="420" w:leftChars="200" w:right="0" w:rightChars="0" w:firstLine="560"/>
        <w:jc w:val="left"/>
        <w:textAlignment w:val="auto"/>
        <w:rPr>
          <w:rFonts w:hint="eastAsia" w:ascii="仿宋_GB2312" w:hAnsi="仿宋_GB2312" w:eastAsia="仿宋_GB2312" w:cs="仿宋_GB2312"/>
          <w:sz w:val="32"/>
          <w:szCs w:val="32"/>
        </w:rPr>
      </w:pPr>
    </w:p>
    <w:p>
      <w:pPr>
        <w:keepNext w:val="0"/>
        <w:keepLines w:val="0"/>
        <w:pageBreakBefore w:val="0"/>
        <w:numPr>
          <w:ilvl w:val="0"/>
          <w:numId w:val="1"/>
        </w:numPr>
        <w:kinsoku/>
        <w:wordWrap/>
        <w:overflowPunct/>
        <w:topLinePunct w:val="0"/>
        <w:bidi w:val="0"/>
        <w:snapToGrid/>
        <w:ind w:left="420" w:leftChars="200" w:right="0" w:rightChars="0"/>
        <w:jc w:val="left"/>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部门决算单位构成</w:t>
      </w:r>
    </w:p>
    <w:p>
      <w:pPr>
        <w:widowControl/>
        <w:spacing w:line="520" w:lineRule="exact"/>
        <w:ind w:firstLine="960" w:firstLine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2017年度，纳入本部门决算汇编范围的独立核算单位（以下简称“单位”）共1个，是中共大厂回族自治县</w:t>
      </w:r>
      <w:r>
        <w:rPr>
          <w:rFonts w:hint="eastAsia" w:ascii="仿宋_GB2312" w:hAnsi="仿宋_GB2312" w:eastAsia="仿宋_GB2312" w:cs="仿宋_GB2312"/>
          <w:sz w:val="32"/>
          <w:szCs w:val="32"/>
          <w:lang w:val="en-US" w:eastAsia="zh-CN"/>
        </w:rPr>
        <w:t>民政局</w:t>
      </w:r>
      <w:r>
        <w:rPr>
          <w:rFonts w:hint="eastAsia" w:ascii="仿宋_GB2312" w:hAnsi="仿宋_GB2312" w:eastAsia="仿宋_GB2312" w:cs="仿宋_GB2312"/>
          <w:sz w:val="32"/>
          <w:szCs w:val="32"/>
        </w:rPr>
        <w:t>，属于财政拨款正科级行政单位，</w:t>
      </w:r>
      <w:r>
        <w:rPr>
          <w:rFonts w:hint="eastAsia" w:ascii="仿宋_GB2312" w:hAnsi="仿宋_GB2312" w:eastAsia="仿宋_GB2312" w:cs="仿宋_GB2312"/>
          <w:sz w:val="32"/>
          <w:szCs w:val="32"/>
          <w:lang w:val="en-US" w:eastAsia="zh-CN"/>
        </w:rPr>
        <w:t>含三个下</w:t>
      </w:r>
      <w:r>
        <w:rPr>
          <w:rFonts w:hint="eastAsia" w:ascii="仿宋_GB2312" w:hAnsi="仿宋_GB2312" w:eastAsia="仿宋_GB2312" w:cs="仿宋_GB2312"/>
          <w:sz w:val="32"/>
          <w:szCs w:val="32"/>
        </w:rPr>
        <w:t>属单位。</w:t>
      </w:r>
    </w:p>
    <w:p>
      <w:pPr>
        <w:widowControl/>
        <w:spacing w:line="520" w:lineRule="exact"/>
        <w:ind w:firstLine="960" w:firstLineChars="300"/>
        <w:jc w:val="left"/>
        <w:rPr>
          <w:rFonts w:hint="eastAsia" w:ascii="仿宋_GB2312" w:hAnsi="仿宋_GB2312" w:eastAsia="仿宋_GB2312" w:cs="仿宋_GB2312"/>
          <w:sz w:val="32"/>
          <w:szCs w:val="32"/>
        </w:rPr>
      </w:pPr>
    </w:p>
    <w:tbl>
      <w:tblPr>
        <w:tblStyle w:val="5"/>
        <w:tblW w:w="10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2"/>
        <w:gridCol w:w="1276"/>
        <w:gridCol w:w="1275"/>
        <w:gridCol w:w="4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restart"/>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276" w:type="dxa"/>
            <w:vMerge w:val="restart"/>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5" w:type="dxa"/>
            <w:vMerge w:val="restart"/>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4047" w:type="dxa"/>
            <w:vMerge w:val="restart"/>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continue"/>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outlineLvl w:val="0"/>
              <w:rPr>
                <w:rFonts w:ascii="Times New Roman" w:hAnsi="Times New Roman" w:eastAsia="宋体" w:cs="Times New Roman"/>
                <w:szCs w:val="24"/>
              </w:rPr>
            </w:pPr>
          </w:p>
        </w:tc>
        <w:tc>
          <w:tcPr>
            <w:tcW w:w="1276" w:type="dxa"/>
            <w:vMerge w:val="continue"/>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outlineLvl w:val="0"/>
              <w:rPr>
                <w:rFonts w:ascii="Times New Roman" w:hAnsi="Times New Roman" w:eastAsia="宋体" w:cs="Times New Roman"/>
                <w:szCs w:val="24"/>
              </w:rPr>
            </w:pPr>
          </w:p>
        </w:tc>
        <w:tc>
          <w:tcPr>
            <w:tcW w:w="1275" w:type="dxa"/>
            <w:vMerge w:val="continue"/>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outlineLvl w:val="0"/>
              <w:rPr>
                <w:rFonts w:ascii="Times New Roman" w:hAnsi="Times New Roman" w:eastAsia="宋体" w:cs="Times New Roman"/>
                <w:szCs w:val="24"/>
              </w:rPr>
            </w:pPr>
          </w:p>
        </w:tc>
        <w:tc>
          <w:tcPr>
            <w:tcW w:w="4047" w:type="dxa"/>
            <w:vMerge w:val="continue"/>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3822" w:type="dxa"/>
            <w:tcBorders>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大厂回族自治县民政局</w:t>
            </w:r>
          </w:p>
        </w:tc>
        <w:tc>
          <w:tcPr>
            <w:tcW w:w="1276" w:type="dxa"/>
            <w:tcBorders>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5" w:type="dxa"/>
            <w:tcBorders>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4047" w:type="dxa"/>
            <w:tcBorders>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0" w:hRule="atLeast"/>
          <w:jc w:val="center"/>
        </w:trPr>
        <w:tc>
          <w:tcPr>
            <w:tcW w:w="3822"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大厂回族自治县中心敬老院</w:t>
            </w:r>
          </w:p>
        </w:tc>
        <w:tc>
          <w:tcPr>
            <w:tcW w:w="1276"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822"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大厂回族自治县烈属养老院</w:t>
            </w:r>
          </w:p>
        </w:tc>
        <w:tc>
          <w:tcPr>
            <w:tcW w:w="1276"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822"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大厂回族自治县殡葬管理所</w:t>
            </w:r>
          </w:p>
        </w:tc>
        <w:tc>
          <w:tcPr>
            <w:tcW w:w="1276"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keepNext w:val="0"/>
              <w:keepLines w:val="0"/>
              <w:pageBreakBefore w:val="0"/>
              <w:kinsoku/>
              <w:wordWrap/>
              <w:overflowPunct/>
              <w:topLinePunct w:val="0"/>
              <w:bidi w:val="0"/>
              <w:snapToGrid/>
              <w:spacing w:line="300" w:lineRule="exact"/>
              <w:ind w:left="420" w:leftChars="200" w:right="0" w:rightChars="0"/>
              <w:jc w:val="left"/>
              <w:textAlignment w:val="auto"/>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财政性资金基本保证（差额事业）</w:t>
            </w:r>
          </w:p>
        </w:tc>
      </w:tr>
    </w:tbl>
    <w:p>
      <w:pPr>
        <w:spacing w:line="600" w:lineRule="exact"/>
        <w:jc w:val="center"/>
        <w:rPr>
          <w:rFonts w:hint="eastAsia" w:ascii="黑体" w:hAnsi="黑体" w:eastAsia="黑体"/>
          <w:b/>
          <w:sz w:val="32"/>
          <w:szCs w:val="32"/>
        </w:rPr>
      </w:pPr>
    </w:p>
    <w:p>
      <w:pPr>
        <w:numPr>
          <w:ilvl w:val="0"/>
          <w:numId w:val="2"/>
        </w:numPr>
        <w:spacing w:line="600" w:lineRule="exact"/>
        <w:jc w:val="center"/>
        <w:rPr>
          <w:rFonts w:hint="eastAsia" w:ascii="黑体" w:hAnsi="黑体" w:eastAsia="黑体"/>
          <w:b/>
          <w:sz w:val="32"/>
          <w:szCs w:val="32"/>
        </w:rPr>
      </w:pPr>
      <w:r>
        <w:rPr>
          <w:rFonts w:hint="eastAsia" w:ascii="黑体" w:hAnsi="黑体" w:eastAsia="黑体"/>
          <w:b/>
          <w:sz w:val="32"/>
          <w:szCs w:val="32"/>
        </w:rPr>
        <w:t xml:space="preserve"> 2017年度部门决算报表</w:t>
      </w:r>
    </w:p>
    <w:p>
      <w:pPr>
        <w:numPr>
          <w:ilvl w:val="0"/>
          <w:numId w:val="0"/>
        </w:numPr>
        <w:spacing w:line="600" w:lineRule="exact"/>
        <w:jc w:val="both"/>
        <w:rPr>
          <w:rFonts w:hint="eastAsia" w:ascii="黑体" w:hAnsi="黑体" w:eastAsia="黑体"/>
          <w:b/>
          <w:sz w:val="32"/>
          <w:szCs w:val="32"/>
        </w:rPr>
      </w:pP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五、一般公共预算财政拨款收入支出决算表</w:t>
      </w: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 w:eastAsia="仿宋_GB2312" w:cs="仿宋_GB2312"/>
          <w:sz w:val="32"/>
          <w:szCs w:val="32"/>
        </w:rPr>
        <w:t>一般公共预算财政拨款基本支出决算表</w:t>
      </w:r>
    </w:p>
    <w:p>
      <w:pPr>
        <w:spacing w:line="584"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七、政府性基金预算财政拨款收入支出决算表</w:t>
      </w: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0"/>
        </w:rPr>
        <w:t>八、国有资本经营预算财政拨款支出决算表</w:t>
      </w:r>
    </w:p>
    <w:p>
      <w:pPr>
        <w:spacing w:line="584" w:lineRule="exact"/>
        <w:ind w:firstLine="1280" w:firstLineChars="4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九、“三公”经费及相关信息统计表</w:t>
      </w:r>
    </w:p>
    <w:p>
      <w:pPr>
        <w:spacing w:line="584" w:lineRule="exact"/>
        <w:ind w:firstLine="1273" w:firstLineChars="3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十、政府采购情况表</w:t>
      </w:r>
    </w:p>
    <w:p>
      <w:pPr>
        <w:spacing w:line="600" w:lineRule="exact"/>
        <w:jc w:val="center"/>
        <w:rPr>
          <w:rFonts w:hint="eastAsia" w:ascii="黑体" w:hAnsi="黑体" w:eastAsia="黑体"/>
          <w:b/>
          <w:sz w:val="32"/>
          <w:szCs w:val="32"/>
        </w:rPr>
      </w:pPr>
      <w:r>
        <w:rPr>
          <w:rFonts w:hint="eastAsia" w:ascii="黑体" w:hAnsi="黑体" w:eastAsia="黑体"/>
          <w:b/>
          <w:sz w:val="32"/>
          <w:szCs w:val="32"/>
        </w:rPr>
        <w:t xml:space="preserve">第三部分  </w:t>
      </w:r>
      <w:r>
        <w:rPr>
          <w:rFonts w:ascii="黑体" w:hAnsi="黑体" w:eastAsia="黑体"/>
          <w:b/>
          <w:sz w:val="32"/>
          <w:szCs w:val="32"/>
        </w:rPr>
        <w:t>201</w:t>
      </w:r>
      <w:r>
        <w:rPr>
          <w:rFonts w:hint="eastAsia" w:ascii="黑体" w:hAnsi="黑体" w:eastAsia="黑体"/>
          <w:b/>
          <w:sz w:val="32"/>
          <w:szCs w:val="32"/>
        </w:rPr>
        <w:t>7年部门决算情况说明</w:t>
      </w:r>
    </w:p>
    <w:p>
      <w:pPr>
        <w:spacing w:line="600" w:lineRule="exact"/>
        <w:jc w:val="center"/>
        <w:rPr>
          <w:rFonts w:hint="eastAsia" w:ascii="黑体" w:hAnsi="黑体" w:eastAsia="黑体"/>
          <w:b/>
          <w:sz w:val="32"/>
          <w:szCs w:val="32"/>
        </w:rPr>
      </w:pPr>
    </w:p>
    <w:p>
      <w:pPr>
        <w:keepNext w:val="0"/>
        <w:keepLines w:val="0"/>
        <w:pageBreakBefore w:val="0"/>
        <w:numPr>
          <w:ilvl w:val="0"/>
          <w:numId w:val="0"/>
        </w:numPr>
        <w:kinsoku/>
        <w:wordWrap/>
        <w:overflowPunct/>
        <w:topLinePunct w:val="0"/>
        <w:bidi w:val="0"/>
        <w:spacing w:line="584" w:lineRule="exact"/>
        <w:ind w:right="0" w:rightChars="0" w:firstLine="643" w:firstLineChars="200"/>
        <w:jc w:val="left"/>
        <w:textAlignment w:val="auto"/>
        <w:rPr>
          <w:rFonts w:hint="eastAsia" w:ascii="楷体" w:hAnsi="楷体" w:eastAsia="楷体" w:cstheme="minorBidi"/>
          <w:b/>
          <w:kern w:val="2"/>
          <w:sz w:val="32"/>
          <w:szCs w:val="32"/>
        </w:rPr>
      </w:pPr>
      <w:r>
        <w:rPr>
          <w:rFonts w:hint="eastAsia" w:ascii="楷体" w:hAnsi="楷体" w:eastAsia="楷体" w:cstheme="minorBidi"/>
          <w:b/>
          <w:kern w:val="2"/>
          <w:sz w:val="32"/>
          <w:szCs w:val="32"/>
          <w:lang w:val="en-US" w:eastAsia="zh-CN"/>
        </w:rPr>
        <w:t>一、</w:t>
      </w:r>
      <w:r>
        <w:rPr>
          <w:rFonts w:hint="eastAsia" w:ascii="楷体" w:hAnsi="楷体" w:eastAsia="楷体" w:cstheme="minorBidi"/>
          <w:b/>
          <w:kern w:val="2"/>
          <w:sz w:val="32"/>
          <w:szCs w:val="32"/>
        </w:rPr>
        <w:t>收入支出决算总体情况说明</w:t>
      </w:r>
    </w:p>
    <w:p>
      <w:pPr>
        <w:keepNext w:val="0"/>
        <w:keepLines w:val="0"/>
        <w:pageBreakBefore w:val="0"/>
        <w:numPr>
          <w:ilvl w:val="0"/>
          <w:numId w:val="0"/>
        </w:numPr>
        <w:kinsoku/>
        <w:wordWrap/>
        <w:overflowPunct/>
        <w:topLinePunct w:val="0"/>
        <w:bidi w:val="0"/>
        <w:spacing w:line="584" w:lineRule="exact"/>
        <w:ind w:right="0" w:rightChars="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反映本部门综合收支情况。201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年度年初结余和结转</w:t>
      </w:r>
      <w:r>
        <w:rPr>
          <w:rFonts w:hint="eastAsia" w:ascii="仿宋_GB2312" w:hAnsi="仿宋_GB2312" w:eastAsia="仿宋_GB2312" w:cs="仿宋_GB2312"/>
          <w:sz w:val="32"/>
          <w:szCs w:val="32"/>
          <w:highlight w:val="none"/>
          <w:lang w:val="en-US" w:eastAsia="zh-CN"/>
        </w:rPr>
        <w:t>987.58</w:t>
      </w:r>
      <w:r>
        <w:rPr>
          <w:rFonts w:hint="eastAsia" w:ascii="仿宋_GB2312" w:hAnsi="仿宋_GB2312" w:eastAsia="仿宋_GB2312" w:cs="仿宋_GB2312"/>
          <w:sz w:val="32"/>
          <w:szCs w:val="32"/>
          <w:highlight w:val="none"/>
        </w:rPr>
        <w:t>万元，本年收入</w:t>
      </w:r>
      <w:r>
        <w:rPr>
          <w:rFonts w:hint="eastAsia" w:ascii="仿宋_GB2312" w:hAnsi="仿宋_GB2312" w:eastAsia="仿宋_GB2312" w:cs="仿宋_GB2312"/>
          <w:sz w:val="32"/>
          <w:szCs w:val="32"/>
          <w:highlight w:val="none"/>
          <w:lang w:val="en-US" w:eastAsia="zh-CN"/>
        </w:rPr>
        <w:t>8889.50</w:t>
      </w:r>
      <w:r>
        <w:rPr>
          <w:rFonts w:hint="eastAsia" w:ascii="仿宋_GB2312" w:hAnsi="仿宋_GB2312" w:eastAsia="仿宋_GB2312" w:cs="仿宋_GB2312"/>
          <w:sz w:val="32"/>
          <w:szCs w:val="32"/>
          <w:highlight w:val="none"/>
        </w:rPr>
        <w:t>万元，；本年支出</w:t>
      </w:r>
      <w:r>
        <w:rPr>
          <w:rFonts w:hint="eastAsia" w:ascii="仿宋_GB2312" w:hAnsi="仿宋_GB2312" w:eastAsia="仿宋_GB2312" w:cs="仿宋_GB2312"/>
          <w:sz w:val="32"/>
          <w:szCs w:val="32"/>
          <w:highlight w:val="none"/>
          <w:lang w:val="en-US" w:eastAsia="zh-CN"/>
        </w:rPr>
        <w:t>8091.72</w:t>
      </w:r>
      <w:r>
        <w:rPr>
          <w:rFonts w:hint="eastAsia" w:ascii="仿宋_GB2312" w:hAnsi="仿宋_GB2312" w:eastAsia="仿宋_GB2312" w:cs="仿宋_GB2312"/>
          <w:sz w:val="32"/>
          <w:szCs w:val="32"/>
          <w:highlight w:val="none"/>
        </w:rPr>
        <w:t>万元，年末结余和结转</w:t>
      </w:r>
      <w:r>
        <w:rPr>
          <w:rFonts w:hint="eastAsia" w:ascii="仿宋_GB2312" w:hAnsi="仿宋_GB2312" w:eastAsia="仿宋_GB2312" w:cs="仿宋_GB2312"/>
          <w:sz w:val="32"/>
          <w:szCs w:val="32"/>
          <w:highlight w:val="none"/>
          <w:lang w:val="en-US" w:eastAsia="zh-CN"/>
        </w:rPr>
        <w:t>1785.36</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与2016年度相比，</w:t>
      </w:r>
      <w:r>
        <w:rPr>
          <w:rFonts w:hint="eastAsia" w:ascii="仿宋_GB2312" w:hAnsi="仿宋_GB2312" w:eastAsia="仿宋_GB2312" w:cs="仿宋_GB2312"/>
          <w:sz w:val="32"/>
          <w:szCs w:val="32"/>
          <w:highlight w:val="none"/>
        </w:rPr>
        <w:t>决算收入总计</w:t>
      </w:r>
      <w:r>
        <w:rPr>
          <w:rFonts w:hint="eastAsia" w:ascii="仿宋_GB2312" w:hAnsi="仿宋_GB2312" w:eastAsia="仿宋_GB2312" w:cs="仿宋_GB2312"/>
          <w:sz w:val="32"/>
          <w:szCs w:val="32"/>
          <w:highlight w:val="none"/>
          <w:lang w:val="en-US" w:eastAsia="zh-CN"/>
        </w:rPr>
        <w:t>增加3402.7万元，增加39%</w:t>
      </w:r>
      <w:r>
        <w:rPr>
          <w:rFonts w:hint="eastAsia" w:ascii="仿宋_GB2312" w:hAnsi="仿宋_GB2312" w:eastAsia="仿宋_GB2312" w:cs="仿宋_GB2312"/>
          <w:sz w:val="32"/>
          <w:szCs w:val="32"/>
          <w:highlight w:val="none"/>
        </w:rPr>
        <w:t>。主要为</w:t>
      </w:r>
      <w:r>
        <w:rPr>
          <w:rFonts w:hint="eastAsia" w:ascii="仿宋_GB2312" w:hAnsi="仿宋_GB2312" w:eastAsia="仿宋_GB2312" w:cs="仿宋_GB2312"/>
          <w:sz w:val="32"/>
          <w:szCs w:val="32"/>
          <w:highlight w:val="none"/>
          <w:lang w:val="en-US" w:eastAsia="zh-CN"/>
        </w:rPr>
        <w:t>对口帮扶贫困县资金</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val="en-US" w:eastAsia="zh-CN"/>
        </w:rPr>
        <w:t>增加以及殡管所改建工程支出增加</w:t>
      </w:r>
      <w:r>
        <w:rPr>
          <w:rFonts w:hint="eastAsia" w:ascii="仿宋_GB2312" w:hAnsi="仿宋_GB2312" w:eastAsia="仿宋_GB2312" w:cs="仿宋_GB2312"/>
          <w:sz w:val="32"/>
          <w:szCs w:val="32"/>
          <w:highlight w:val="none"/>
        </w:rPr>
        <w:t>。决算支出总计</w:t>
      </w:r>
      <w:r>
        <w:rPr>
          <w:rFonts w:hint="eastAsia" w:ascii="仿宋_GB2312" w:hAnsi="仿宋_GB2312" w:eastAsia="仿宋_GB2312" w:cs="仿宋_GB2312"/>
          <w:sz w:val="32"/>
          <w:szCs w:val="32"/>
          <w:highlight w:val="none"/>
          <w:lang w:val="en-US" w:eastAsia="zh-CN"/>
        </w:rPr>
        <w:t>增加1868.2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增加23</w:t>
      </w:r>
      <w:r>
        <w:rPr>
          <w:rFonts w:hint="eastAsia" w:ascii="仿宋_GB2312" w:hAnsi="仿宋_GB2312" w:eastAsia="仿宋_GB2312" w:cs="仿宋_GB2312"/>
          <w:sz w:val="32"/>
          <w:szCs w:val="32"/>
          <w:highlight w:val="none"/>
        </w:rPr>
        <w:t>%。主要为</w:t>
      </w:r>
      <w:r>
        <w:rPr>
          <w:rFonts w:hint="eastAsia" w:ascii="仿宋_GB2312" w:hAnsi="仿宋_GB2312" w:eastAsia="仿宋_GB2312" w:cs="仿宋_GB2312"/>
          <w:sz w:val="32"/>
          <w:szCs w:val="32"/>
          <w:highlight w:val="none"/>
          <w:lang w:val="en-US" w:eastAsia="zh-CN"/>
        </w:rPr>
        <w:t>扶贫资金支出增加</w:t>
      </w:r>
      <w:r>
        <w:rPr>
          <w:rFonts w:hint="eastAsia" w:ascii="仿宋_GB2312" w:hAnsi="仿宋_GB2312" w:eastAsia="仿宋_GB2312" w:cs="仿宋_GB2312"/>
          <w:sz w:val="32"/>
          <w:szCs w:val="32"/>
          <w:highlight w:val="none"/>
        </w:rPr>
        <w:t xml:space="preserve">。 </w:t>
      </w:r>
    </w:p>
    <w:p>
      <w:pPr>
        <w:keepNext w:val="0"/>
        <w:keepLines w:val="0"/>
        <w:pageBreakBefore w:val="0"/>
        <w:numPr>
          <w:ilvl w:val="0"/>
          <w:numId w:val="0"/>
        </w:numPr>
        <w:kinsoku/>
        <w:wordWrap/>
        <w:overflowPunct/>
        <w:topLinePunct w:val="0"/>
        <w:bidi w:val="0"/>
        <w:spacing w:line="584" w:lineRule="exact"/>
        <w:ind w:right="0" w:rightChars="0" w:firstLine="643" w:firstLineChars="200"/>
        <w:jc w:val="left"/>
        <w:textAlignment w:val="auto"/>
        <w:rPr>
          <w:rFonts w:ascii="楷体" w:hAnsi="楷体" w:eastAsia="楷体" w:cstheme="minorBidi"/>
          <w:b/>
          <w:kern w:val="2"/>
          <w:sz w:val="32"/>
          <w:szCs w:val="32"/>
          <w:highlight w:val="none"/>
        </w:rPr>
      </w:pPr>
      <w:r>
        <w:rPr>
          <w:rFonts w:hint="eastAsia" w:ascii="楷体" w:hAnsi="楷体" w:eastAsia="楷体" w:cstheme="minorBidi"/>
          <w:b/>
          <w:kern w:val="2"/>
          <w:sz w:val="32"/>
          <w:szCs w:val="32"/>
          <w:highlight w:val="none"/>
          <w:lang w:val="en-US" w:eastAsia="zh-CN"/>
        </w:rPr>
        <w:t>二、</w:t>
      </w:r>
      <w:r>
        <w:rPr>
          <w:rFonts w:ascii="楷体" w:hAnsi="楷体" w:eastAsia="楷体" w:cstheme="minorBidi"/>
          <w:b/>
          <w:kern w:val="2"/>
          <w:sz w:val="32"/>
          <w:szCs w:val="32"/>
          <w:highlight w:val="none"/>
        </w:rPr>
        <w:t>收入决算情况说明</w:t>
      </w:r>
    </w:p>
    <w:p>
      <w:pPr>
        <w:keepNext w:val="0"/>
        <w:keepLines w:val="0"/>
        <w:pageBreakBefore w:val="0"/>
        <w:kinsoku/>
        <w:wordWrap/>
        <w:overflowPunct/>
        <w:topLinePunct w:val="0"/>
        <w:bidi w:val="0"/>
        <w:spacing w:line="580" w:lineRule="exact"/>
        <w:ind w:right="0" w:rightChars="0" w:firstLine="640"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反映本部门当年总体收入情况。民政局201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年度年初结余和结转</w:t>
      </w:r>
      <w:r>
        <w:rPr>
          <w:rFonts w:hint="eastAsia" w:ascii="仿宋_GB2312" w:hAnsi="仿宋_GB2312" w:eastAsia="仿宋_GB2312" w:cs="仿宋_GB2312"/>
          <w:sz w:val="32"/>
          <w:szCs w:val="32"/>
          <w:highlight w:val="none"/>
          <w:lang w:val="en-US" w:eastAsia="zh-CN"/>
        </w:rPr>
        <w:t>987.5 8</w:t>
      </w:r>
      <w:r>
        <w:rPr>
          <w:rFonts w:hint="eastAsia" w:ascii="仿宋_GB2312" w:hAnsi="仿宋_GB2312" w:eastAsia="仿宋_GB2312" w:cs="仿宋_GB2312"/>
          <w:sz w:val="32"/>
          <w:szCs w:val="32"/>
          <w:highlight w:val="none"/>
        </w:rPr>
        <w:t>万元，本年财政拨款收入</w:t>
      </w:r>
      <w:r>
        <w:rPr>
          <w:rFonts w:hint="eastAsia" w:ascii="仿宋_GB2312" w:hAnsi="仿宋_GB2312" w:eastAsia="仿宋_GB2312" w:cs="仿宋_GB2312"/>
          <w:sz w:val="32"/>
          <w:szCs w:val="32"/>
          <w:highlight w:val="none"/>
          <w:lang w:val="en-US" w:eastAsia="zh-CN"/>
        </w:rPr>
        <w:t>8889.50</w:t>
      </w:r>
      <w:r>
        <w:rPr>
          <w:rFonts w:hint="eastAsia" w:ascii="仿宋_GB2312" w:hAnsi="仿宋_GB2312" w:eastAsia="仿宋_GB2312" w:cs="仿宋_GB2312"/>
          <w:sz w:val="32"/>
          <w:szCs w:val="32"/>
          <w:highlight w:val="none"/>
        </w:rPr>
        <w:t>万元，占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95.2</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）其中：</w:t>
      </w:r>
      <w:r>
        <w:rPr>
          <w:rFonts w:hint="eastAsia" w:ascii="仿宋_GB2312" w:hAnsi="仿宋_GB2312" w:eastAsia="仿宋_GB2312" w:cs="仿宋_GB2312"/>
          <w:sz w:val="32"/>
          <w:szCs w:val="32"/>
          <w:highlight w:val="none"/>
        </w:rPr>
        <w:t>政府性基金</w:t>
      </w:r>
      <w:r>
        <w:rPr>
          <w:rFonts w:hint="eastAsia" w:ascii="仿宋_GB2312" w:hAnsi="仿宋_GB2312" w:eastAsia="仿宋_GB2312" w:cs="仿宋_GB2312"/>
          <w:sz w:val="32"/>
          <w:szCs w:val="32"/>
          <w:highlight w:val="none"/>
          <w:lang w:eastAsia="zh-CN"/>
        </w:rPr>
        <w:t>财政拨款</w:t>
      </w:r>
      <w:r>
        <w:rPr>
          <w:rFonts w:hint="eastAsia" w:ascii="仿宋_GB2312" w:hAnsi="仿宋_GB2312" w:eastAsia="仿宋_GB2312" w:cs="仿宋_GB2312"/>
          <w:sz w:val="32"/>
          <w:szCs w:val="32"/>
          <w:highlight w:val="none"/>
        </w:rPr>
        <w:t>收入</w:t>
      </w:r>
      <w:r>
        <w:rPr>
          <w:rFonts w:hint="eastAsia" w:ascii="仿宋_GB2312" w:hAnsi="仿宋_GB2312" w:eastAsia="仿宋_GB2312" w:cs="仿宋_GB2312"/>
          <w:sz w:val="32"/>
          <w:szCs w:val="32"/>
          <w:highlight w:val="none"/>
          <w:lang w:val="en-US" w:eastAsia="zh-CN"/>
        </w:rPr>
        <w:t>432.33</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4.8</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国有资本经营收入0万元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事业收入0万元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其他收入0万元。</w:t>
      </w:r>
    </w:p>
    <w:p>
      <w:pPr>
        <w:keepNext w:val="0"/>
        <w:keepLines w:val="0"/>
        <w:pageBreakBefore w:val="0"/>
        <w:kinsoku/>
        <w:wordWrap/>
        <w:overflowPunct/>
        <w:topLinePunct w:val="0"/>
        <w:bidi w:val="0"/>
        <w:spacing w:line="580" w:lineRule="exact"/>
        <w:ind w:right="0" w:rightChars="0" w:firstLine="643" w:firstLineChars="200"/>
        <w:jc w:val="left"/>
        <w:textAlignment w:val="auto"/>
        <w:rPr>
          <w:rFonts w:ascii="楷体" w:hAnsi="楷体" w:eastAsia="楷体" w:cstheme="minorBidi"/>
          <w:b/>
          <w:kern w:val="2"/>
          <w:sz w:val="32"/>
          <w:szCs w:val="32"/>
          <w:highlight w:val="none"/>
        </w:rPr>
      </w:pPr>
      <w:r>
        <w:rPr>
          <w:rFonts w:hint="eastAsia" w:ascii="楷体" w:hAnsi="楷体" w:eastAsia="楷体" w:cstheme="minorBidi"/>
          <w:b/>
          <w:kern w:val="2"/>
          <w:sz w:val="32"/>
          <w:szCs w:val="32"/>
          <w:highlight w:val="none"/>
          <w:lang w:val="en-US" w:eastAsia="zh-CN"/>
        </w:rPr>
        <w:t>三、</w:t>
      </w:r>
      <w:r>
        <w:rPr>
          <w:rFonts w:ascii="楷体" w:hAnsi="楷体" w:eastAsia="楷体" w:cstheme="minorBidi"/>
          <w:b/>
          <w:kern w:val="2"/>
          <w:sz w:val="32"/>
          <w:szCs w:val="32"/>
          <w:highlight w:val="none"/>
        </w:rPr>
        <w:t>支出决算情况说明</w:t>
      </w:r>
    </w:p>
    <w:p>
      <w:pPr>
        <w:keepNext w:val="0"/>
        <w:keepLines w:val="0"/>
        <w:pageBreakBefore w:val="0"/>
        <w:kinsoku/>
        <w:wordWrap/>
        <w:overflowPunct/>
        <w:topLinePunct w:val="0"/>
        <w:bidi w:val="0"/>
        <w:spacing w:line="580" w:lineRule="exact"/>
        <w:ind w:right="0" w:rightChars="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本部门201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年支出</w:t>
      </w:r>
      <w:r>
        <w:rPr>
          <w:rFonts w:hint="eastAsia" w:ascii="仿宋_GB2312" w:hAnsi="仿宋_GB2312" w:eastAsia="仿宋_GB2312" w:cs="仿宋_GB2312"/>
          <w:sz w:val="32"/>
          <w:szCs w:val="32"/>
          <w:highlight w:val="none"/>
          <w:lang w:val="en-US" w:eastAsia="zh-CN"/>
        </w:rPr>
        <w:t>8091.72</w:t>
      </w:r>
      <w:r>
        <w:rPr>
          <w:rFonts w:hint="eastAsia" w:ascii="仿宋_GB2312" w:hAnsi="仿宋_GB2312" w:eastAsia="仿宋_GB2312" w:cs="仿宋_GB2312"/>
          <w:sz w:val="32"/>
          <w:szCs w:val="32"/>
          <w:highlight w:val="none"/>
        </w:rPr>
        <w:t>万元，其中基本支出</w:t>
      </w:r>
      <w:r>
        <w:rPr>
          <w:rFonts w:hint="eastAsia" w:ascii="仿宋_GB2312" w:hAnsi="仿宋_GB2312" w:eastAsia="仿宋_GB2312" w:cs="仿宋_GB2312"/>
          <w:sz w:val="32"/>
          <w:szCs w:val="32"/>
          <w:highlight w:val="none"/>
          <w:lang w:val="en-US" w:eastAsia="zh-CN"/>
        </w:rPr>
        <w:t>725.52</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占（9%）</w:t>
      </w:r>
      <w:r>
        <w:rPr>
          <w:rFonts w:hint="eastAsia" w:ascii="仿宋_GB2312" w:hAnsi="仿宋_GB2312" w:eastAsia="仿宋_GB2312" w:cs="仿宋_GB2312"/>
          <w:sz w:val="32"/>
          <w:szCs w:val="32"/>
          <w:highlight w:val="none"/>
        </w:rPr>
        <w:t>包括人员经费和日常公用经费；项目支出</w:t>
      </w:r>
      <w:r>
        <w:rPr>
          <w:rFonts w:hint="eastAsia" w:ascii="仿宋_GB2312" w:hAnsi="仿宋_GB2312" w:eastAsia="仿宋_GB2312" w:cs="仿宋_GB2312"/>
          <w:sz w:val="32"/>
          <w:szCs w:val="32"/>
          <w:highlight w:val="none"/>
          <w:lang w:val="en-US" w:eastAsia="zh-CN"/>
        </w:rPr>
        <w:t>7366.20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占</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91%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年末结余和结转</w:t>
      </w:r>
      <w:r>
        <w:rPr>
          <w:rFonts w:hint="eastAsia" w:ascii="仿宋_GB2312" w:hAnsi="仿宋_GB2312" w:eastAsia="仿宋_GB2312" w:cs="仿宋_GB2312"/>
          <w:sz w:val="32"/>
          <w:szCs w:val="32"/>
          <w:highlight w:val="none"/>
          <w:lang w:val="en-US" w:eastAsia="zh-CN"/>
        </w:rPr>
        <w:t>1785.36</w:t>
      </w:r>
      <w:r>
        <w:rPr>
          <w:rFonts w:hint="eastAsia" w:ascii="仿宋_GB2312" w:hAnsi="仿宋_GB2312" w:eastAsia="仿宋_GB2312" w:cs="仿宋_GB2312"/>
          <w:sz w:val="32"/>
          <w:szCs w:val="32"/>
          <w:highlight w:val="none"/>
        </w:rPr>
        <w:t>万元。</w:t>
      </w:r>
    </w:p>
    <w:p>
      <w:pPr>
        <w:keepNext w:val="0"/>
        <w:keepLines w:val="0"/>
        <w:pageBreakBefore w:val="0"/>
        <w:kinsoku/>
        <w:wordWrap/>
        <w:overflowPunct/>
        <w:topLinePunct w:val="0"/>
        <w:bidi w:val="0"/>
        <w:spacing w:line="580" w:lineRule="exact"/>
        <w:ind w:right="0" w:rightChars="0" w:firstLine="643" w:firstLineChars="200"/>
        <w:jc w:val="left"/>
        <w:textAlignment w:val="auto"/>
        <w:rPr>
          <w:rFonts w:ascii="楷体" w:hAnsi="楷体" w:eastAsia="楷体" w:cstheme="minorBidi"/>
          <w:b/>
          <w:kern w:val="2"/>
          <w:sz w:val="32"/>
          <w:szCs w:val="32"/>
          <w:highlight w:val="none"/>
        </w:rPr>
      </w:pPr>
      <w:r>
        <w:rPr>
          <w:rFonts w:hint="eastAsia" w:ascii="楷体" w:hAnsi="楷体" w:eastAsia="楷体" w:cs="楷体"/>
          <w:b/>
          <w:bCs/>
          <w:sz w:val="32"/>
          <w:szCs w:val="32"/>
          <w:highlight w:val="none"/>
          <w:lang w:val="en-US" w:eastAsia="zh-CN"/>
        </w:rPr>
        <w:t>四、</w:t>
      </w:r>
      <w:r>
        <w:rPr>
          <w:rFonts w:ascii="楷体" w:hAnsi="楷体" w:eastAsia="楷体" w:cstheme="minorBidi"/>
          <w:b/>
          <w:kern w:val="2"/>
          <w:sz w:val="32"/>
          <w:szCs w:val="32"/>
          <w:highlight w:val="none"/>
        </w:rPr>
        <w:t>财政拨款收入支出决算总体情况说明</w:t>
      </w:r>
    </w:p>
    <w:p>
      <w:pPr>
        <w:keepNext w:val="0"/>
        <w:keepLines w:val="0"/>
        <w:pageBreakBefore w:val="0"/>
        <w:numPr>
          <w:ilvl w:val="0"/>
          <w:numId w:val="0"/>
        </w:numPr>
        <w:kinsoku/>
        <w:wordWrap/>
        <w:overflowPunct/>
        <w:topLinePunct w:val="0"/>
        <w:bidi w:val="0"/>
        <w:spacing w:line="580" w:lineRule="exact"/>
        <w:ind w:right="0" w:rightChars="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反映本部门财政拨款收支情况。包括一般公共预算财政拨款情况（基本支出和项目支出）、政府性基金预算财政拨款情况。201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年度年初结余和结转</w:t>
      </w:r>
      <w:r>
        <w:rPr>
          <w:rFonts w:hint="eastAsia" w:ascii="仿宋_GB2312" w:hAnsi="仿宋_GB2312" w:eastAsia="仿宋_GB2312" w:cs="仿宋_GB2312"/>
          <w:sz w:val="32"/>
          <w:szCs w:val="32"/>
          <w:highlight w:val="none"/>
          <w:lang w:val="en-US" w:eastAsia="zh-CN"/>
        </w:rPr>
        <w:t>987.58</w:t>
      </w:r>
      <w:r>
        <w:rPr>
          <w:rFonts w:hint="eastAsia" w:ascii="仿宋_GB2312" w:hAnsi="仿宋_GB2312" w:eastAsia="仿宋_GB2312" w:cs="仿宋_GB2312"/>
          <w:sz w:val="32"/>
          <w:szCs w:val="32"/>
          <w:highlight w:val="none"/>
        </w:rPr>
        <w:t>万元，本年财政拨款收入</w:t>
      </w:r>
      <w:r>
        <w:rPr>
          <w:rFonts w:hint="eastAsia" w:ascii="仿宋_GB2312" w:hAnsi="仿宋_GB2312" w:eastAsia="仿宋_GB2312" w:cs="仿宋_GB2312"/>
          <w:sz w:val="32"/>
          <w:szCs w:val="32"/>
          <w:highlight w:val="none"/>
          <w:lang w:val="en-US" w:eastAsia="zh-CN"/>
        </w:rPr>
        <w:t>8889.50</w:t>
      </w:r>
      <w:r>
        <w:rPr>
          <w:rFonts w:hint="eastAsia" w:ascii="仿宋_GB2312" w:hAnsi="仿宋_GB2312" w:eastAsia="仿宋_GB2312" w:cs="仿宋_GB2312"/>
          <w:sz w:val="32"/>
          <w:szCs w:val="32"/>
          <w:highlight w:val="none"/>
        </w:rPr>
        <w:t>万元，其中一般公共预算拨款收入</w:t>
      </w:r>
      <w:r>
        <w:rPr>
          <w:rFonts w:hint="eastAsia" w:ascii="仿宋_GB2312" w:hAnsi="仿宋_GB2312" w:eastAsia="仿宋_GB2312" w:cs="仿宋_GB2312"/>
          <w:sz w:val="32"/>
          <w:szCs w:val="32"/>
          <w:highlight w:val="none"/>
          <w:lang w:val="en-US" w:eastAsia="zh-CN"/>
        </w:rPr>
        <w:t>8889.50</w:t>
      </w:r>
      <w:r>
        <w:rPr>
          <w:rFonts w:hint="eastAsia" w:ascii="仿宋_GB2312" w:hAnsi="仿宋_GB2312" w:eastAsia="仿宋_GB2312" w:cs="仿宋_GB2312"/>
          <w:sz w:val="32"/>
          <w:szCs w:val="32"/>
          <w:highlight w:val="none"/>
        </w:rPr>
        <w:t>万元，较201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3402.69</w:t>
      </w:r>
      <w:r>
        <w:rPr>
          <w:rFonts w:hint="eastAsia" w:ascii="仿宋_GB2312" w:hAnsi="仿宋_GB2312" w:eastAsia="仿宋_GB2312" w:cs="仿宋_GB2312"/>
          <w:sz w:val="32"/>
          <w:szCs w:val="32"/>
          <w:highlight w:val="none"/>
        </w:rPr>
        <w:t>万元；201</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年本年支出</w:t>
      </w:r>
      <w:r>
        <w:rPr>
          <w:rFonts w:hint="eastAsia" w:ascii="仿宋_GB2312" w:hAnsi="仿宋_GB2312" w:eastAsia="仿宋_GB2312" w:cs="仿宋_GB2312"/>
          <w:sz w:val="32"/>
          <w:szCs w:val="32"/>
          <w:highlight w:val="none"/>
          <w:lang w:val="en-US" w:eastAsia="zh-CN"/>
        </w:rPr>
        <w:t>8091.72</w:t>
      </w:r>
      <w:r>
        <w:rPr>
          <w:rFonts w:hint="eastAsia" w:ascii="仿宋_GB2312" w:hAnsi="仿宋_GB2312" w:eastAsia="仿宋_GB2312" w:cs="仿宋_GB2312"/>
          <w:sz w:val="32"/>
          <w:szCs w:val="32"/>
          <w:highlight w:val="none"/>
        </w:rPr>
        <w:t>万元，较201</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1868.19</w:t>
      </w:r>
      <w:r>
        <w:rPr>
          <w:rFonts w:hint="eastAsia" w:ascii="仿宋_GB2312" w:hAnsi="仿宋_GB2312" w:eastAsia="仿宋_GB2312" w:cs="仿宋_GB2312"/>
          <w:sz w:val="32"/>
          <w:szCs w:val="32"/>
          <w:highlight w:val="none"/>
        </w:rPr>
        <w:t>万元，其中：基本支出增加</w:t>
      </w:r>
      <w:r>
        <w:rPr>
          <w:rFonts w:hint="eastAsia" w:ascii="仿宋_GB2312" w:hAnsi="仿宋_GB2312" w:eastAsia="仿宋_GB2312" w:cs="仿宋_GB2312"/>
          <w:sz w:val="32"/>
          <w:szCs w:val="32"/>
          <w:highlight w:val="none"/>
          <w:lang w:val="en-US" w:eastAsia="zh-CN"/>
        </w:rPr>
        <w:t>68.27</w:t>
      </w:r>
      <w:r>
        <w:rPr>
          <w:rFonts w:hint="eastAsia" w:ascii="仿宋_GB2312" w:hAnsi="仿宋_GB2312" w:eastAsia="仿宋_GB2312" w:cs="仿宋_GB2312"/>
          <w:sz w:val="32"/>
          <w:szCs w:val="32"/>
          <w:highlight w:val="none"/>
        </w:rPr>
        <w:t>万元，主要为调整工资经费支出；项目支出</w:t>
      </w:r>
      <w:r>
        <w:rPr>
          <w:rFonts w:hint="eastAsia" w:ascii="仿宋_GB2312" w:hAnsi="仿宋_GB2312" w:eastAsia="仿宋_GB2312" w:cs="仿宋_GB2312"/>
          <w:sz w:val="32"/>
          <w:szCs w:val="32"/>
          <w:highlight w:val="none"/>
          <w:lang w:eastAsia="zh-CN"/>
        </w:rPr>
        <w:t>增加</w:t>
      </w:r>
      <w:r>
        <w:rPr>
          <w:rFonts w:hint="eastAsia" w:ascii="仿宋_GB2312" w:hAnsi="仿宋_GB2312" w:eastAsia="仿宋_GB2312" w:cs="仿宋_GB2312"/>
          <w:sz w:val="32"/>
          <w:szCs w:val="32"/>
          <w:highlight w:val="none"/>
          <w:lang w:val="en-US" w:eastAsia="zh-CN"/>
        </w:rPr>
        <w:t>1799.92</w:t>
      </w:r>
      <w:r>
        <w:rPr>
          <w:rFonts w:hint="eastAsia" w:ascii="仿宋_GB2312" w:hAnsi="仿宋_GB2312" w:eastAsia="仿宋_GB2312" w:cs="仿宋_GB2312"/>
          <w:sz w:val="32"/>
          <w:szCs w:val="32"/>
          <w:highlight w:val="none"/>
        </w:rPr>
        <w:t>万元，主要因为民政综合改革试验区</w:t>
      </w:r>
      <w:r>
        <w:rPr>
          <w:rFonts w:hint="eastAsia" w:ascii="仿宋_GB2312" w:hAnsi="仿宋_GB2312" w:eastAsia="仿宋_GB2312" w:cs="仿宋_GB2312"/>
          <w:sz w:val="32"/>
          <w:szCs w:val="32"/>
          <w:highlight w:val="none"/>
          <w:lang w:eastAsia="zh-CN"/>
        </w:rPr>
        <w:t>部分</w:t>
      </w:r>
      <w:r>
        <w:rPr>
          <w:rFonts w:hint="eastAsia" w:ascii="仿宋_GB2312" w:hAnsi="仿宋_GB2312" w:eastAsia="仿宋_GB2312" w:cs="仿宋_GB2312"/>
          <w:sz w:val="32"/>
          <w:szCs w:val="32"/>
          <w:highlight w:val="none"/>
        </w:rPr>
        <w:t>项目</w:t>
      </w:r>
      <w:r>
        <w:rPr>
          <w:rFonts w:hint="eastAsia" w:ascii="仿宋_GB2312" w:hAnsi="仿宋_GB2312" w:eastAsia="仿宋_GB2312" w:cs="仿宋_GB2312"/>
          <w:sz w:val="32"/>
          <w:szCs w:val="32"/>
          <w:highlight w:val="none"/>
          <w:lang w:eastAsia="zh-CN"/>
        </w:rPr>
        <w:t>尚未</w:t>
      </w:r>
      <w:r>
        <w:rPr>
          <w:rFonts w:hint="eastAsia" w:ascii="仿宋_GB2312" w:hAnsi="仿宋_GB2312" w:eastAsia="仿宋_GB2312" w:cs="仿宋_GB2312"/>
          <w:sz w:val="32"/>
          <w:szCs w:val="32"/>
          <w:highlight w:val="none"/>
        </w:rPr>
        <w:t>完成</w:t>
      </w:r>
      <w:r>
        <w:rPr>
          <w:rFonts w:hint="eastAsia" w:ascii="仿宋_GB2312" w:hAnsi="仿宋_GB2312" w:eastAsia="仿宋_GB2312" w:cs="仿宋_GB2312"/>
          <w:sz w:val="32"/>
          <w:szCs w:val="32"/>
          <w:highlight w:val="none"/>
          <w:lang w:eastAsia="zh-CN"/>
        </w:rPr>
        <w:t>，资金未支付到位</w:t>
      </w:r>
      <w:r>
        <w:rPr>
          <w:rFonts w:hint="eastAsia" w:ascii="仿宋_GB2312" w:hAnsi="仿宋_GB2312" w:eastAsia="仿宋_GB2312" w:cs="仿宋_GB2312"/>
          <w:sz w:val="32"/>
          <w:szCs w:val="32"/>
          <w:highlight w:val="none"/>
        </w:rPr>
        <w:t>。年末结余和结转</w:t>
      </w:r>
      <w:r>
        <w:rPr>
          <w:rFonts w:hint="eastAsia" w:ascii="仿宋_GB2312" w:hAnsi="仿宋_GB2312" w:eastAsia="仿宋_GB2312" w:cs="仿宋_GB2312"/>
          <w:sz w:val="32"/>
          <w:szCs w:val="32"/>
          <w:highlight w:val="none"/>
          <w:lang w:val="en-US" w:eastAsia="zh-CN"/>
        </w:rPr>
        <w:t>1785.36</w:t>
      </w:r>
      <w:r>
        <w:rPr>
          <w:rFonts w:hint="eastAsia" w:ascii="仿宋_GB2312" w:hAnsi="仿宋_GB2312" w:eastAsia="仿宋_GB2312" w:cs="仿宋_GB2312"/>
          <w:sz w:val="32"/>
          <w:szCs w:val="32"/>
          <w:highlight w:val="none"/>
        </w:rPr>
        <w:t>万元。</w:t>
      </w:r>
    </w:p>
    <w:p>
      <w:pPr>
        <w:keepNext w:val="0"/>
        <w:keepLines w:val="0"/>
        <w:pageBreakBefore w:val="0"/>
        <w:kinsoku/>
        <w:wordWrap/>
        <w:overflowPunct/>
        <w:topLinePunct w:val="0"/>
        <w:autoSpaceDE w:val="0"/>
        <w:autoSpaceDN w:val="0"/>
        <w:bidi w:val="0"/>
        <w:adjustRightInd w:val="0"/>
        <w:spacing w:line="580" w:lineRule="exact"/>
        <w:ind w:right="0" w:rightChars="0" w:firstLine="643" w:firstLineChars="200"/>
        <w:jc w:val="left"/>
        <w:textAlignment w:val="auto"/>
        <w:rPr>
          <w:rFonts w:ascii="楷体" w:hAnsi="楷体" w:eastAsia="楷体" w:cstheme="minorBidi"/>
          <w:b/>
          <w:kern w:val="2"/>
          <w:sz w:val="32"/>
          <w:szCs w:val="32"/>
        </w:rPr>
      </w:pPr>
      <w:r>
        <w:rPr>
          <w:rFonts w:hint="eastAsia" w:ascii="楷体" w:hAnsi="楷体" w:eastAsia="楷体"/>
          <w:b/>
          <w:sz w:val="32"/>
          <w:szCs w:val="32"/>
        </w:rPr>
        <w:t>五、一般公共预算财政拨款“三公”经费支出决算情况说明</w:t>
      </w:r>
    </w:p>
    <w:p>
      <w:pPr>
        <w:keepNext w:val="0"/>
        <w:keepLines w:val="0"/>
        <w:pageBreakBefore w:val="0"/>
        <w:kinsoku/>
        <w:wordWrap/>
        <w:overflowPunct/>
        <w:topLinePunct w:val="0"/>
        <w:autoSpaceDE w:val="0"/>
        <w:autoSpaceDN w:val="0"/>
        <w:bidi w:val="0"/>
        <w:adjustRightInd w:val="0"/>
        <w:spacing w:line="580" w:lineRule="exact"/>
        <w:ind w:right="0" w:rightChars="0" w:firstLine="640" w:firstLineChars="200"/>
        <w:jc w:val="left"/>
        <w:textAlignment w:val="auto"/>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sz w:val="32"/>
          <w:szCs w:val="32"/>
        </w:rPr>
        <w:t>本部门2017年度一般公共预算财政拨款</w:t>
      </w:r>
      <w:r>
        <w:rPr>
          <w:rFonts w:hint="eastAsia" w:ascii="仿宋_GB2312" w:hAnsi="仿宋_GB2312" w:eastAsia="仿宋_GB2312" w:cs="仿宋_GB2312"/>
          <w:b w:val="0"/>
          <w:bCs w:val="0"/>
          <w:kern w:val="2"/>
          <w:sz w:val="32"/>
          <w:szCs w:val="32"/>
        </w:rPr>
        <w:t>“三公”经费201</w:t>
      </w:r>
      <w:r>
        <w:rPr>
          <w:rFonts w:hint="eastAsia" w:ascii="仿宋_GB2312" w:hAnsi="仿宋_GB2312" w:eastAsia="仿宋_GB2312" w:cs="仿宋_GB2312"/>
          <w:b w:val="0"/>
          <w:bCs w:val="0"/>
          <w:kern w:val="2"/>
          <w:sz w:val="32"/>
          <w:szCs w:val="32"/>
          <w:lang w:val="en-US" w:eastAsia="zh-CN"/>
        </w:rPr>
        <w:t>7</w:t>
      </w:r>
      <w:r>
        <w:rPr>
          <w:rFonts w:hint="eastAsia" w:ascii="仿宋_GB2312" w:hAnsi="仿宋_GB2312" w:eastAsia="仿宋_GB2312" w:cs="仿宋_GB2312"/>
          <w:b w:val="0"/>
          <w:bCs w:val="0"/>
          <w:kern w:val="2"/>
          <w:sz w:val="32"/>
          <w:szCs w:val="32"/>
        </w:rPr>
        <w:t>年为</w:t>
      </w:r>
      <w:r>
        <w:rPr>
          <w:rFonts w:hint="eastAsia" w:ascii="仿宋_GB2312" w:hAnsi="仿宋_GB2312" w:eastAsia="仿宋_GB2312" w:cs="仿宋_GB2312"/>
          <w:b w:val="0"/>
          <w:bCs w:val="0"/>
          <w:kern w:val="2"/>
          <w:sz w:val="32"/>
          <w:szCs w:val="32"/>
          <w:lang w:val="en-US" w:eastAsia="zh-CN"/>
        </w:rPr>
        <w:t>9.53</w:t>
      </w:r>
      <w:r>
        <w:rPr>
          <w:rFonts w:hint="eastAsia" w:ascii="仿宋_GB2312" w:hAnsi="仿宋_GB2312" w:eastAsia="仿宋_GB2312" w:cs="仿宋_GB2312"/>
          <w:b w:val="0"/>
          <w:bCs w:val="0"/>
          <w:kern w:val="2"/>
          <w:sz w:val="32"/>
          <w:szCs w:val="32"/>
        </w:rPr>
        <w:t>万元，比预算</w:t>
      </w:r>
      <w:r>
        <w:rPr>
          <w:rFonts w:hint="eastAsia" w:ascii="仿宋_GB2312" w:hAnsi="仿宋_GB2312" w:eastAsia="仿宋_GB2312" w:cs="仿宋_GB2312"/>
          <w:b w:val="0"/>
          <w:bCs w:val="0"/>
          <w:kern w:val="2"/>
          <w:sz w:val="32"/>
          <w:szCs w:val="32"/>
          <w:lang w:eastAsia="zh-CN"/>
        </w:rPr>
        <w:t>增加</w:t>
      </w:r>
      <w:r>
        <w:rPr>
          <w:rFonts w:hint="eastAsia" w:ascii="仿宋_GB2312" w:hAnsi="仿宋_GB2312" w:eastAsia="仿宋_GB2312" w:cs="仿宋_GB2312"/>
          <w:b w:val="0"/>
          <w:bCs w:val="0"/>
          <w:kern w:val="2"/>
          <w:sz w:val="32"/>
          <w:szCs w:val="32"/>
          <w:lang w:val="en-US" w:eastAsia="zh-CN"/>
        </w:rPr>
        <w:t>4</w:t>
      </w:r>
      <w:r>
        <w:rPr>
          <w:rFonts w:hint="eastAsia" w:ascii="仿宋_GB2312" w:hAnsi="仿宋_GB2312" w:eastAsia="仿宋_GB2312" w:cs="仿宋_GB2312"/>
          <w:b w:val="0"/>
          <w:bCs w:val="0"/>
          <w:kern w:val="2"/>
          <w:sz w:val="32"/>
          <w:szCs w:val="32"/>
        </w:rPr>
        <w:t>万元，比201</w:t>
      </w:r>
      <w:r>
        <w:rPr>
          <w:rFonts w:hint="eastAsia" w:ascii="仿宋_GB2312" w:hAnsi="仿宋_GB2312" w:eastAsia="仿宋_GB2312" w:cs="仿宋_GB2312"/>
          <w:b w:val="0"/>
          <w:bCs w:val="0"/>
          <w:kern w:val="2"/>
          <w:sz w:val="32"/>
          <w:szCs w:val="32"/>
          <w:lang w:val="en-US" w:eastAsia="zh-CN"/>
        </w:rPr>
        <w:t>6</w:t>
      </w:r>
      <w:r>
        <w:rPr>
          <w:rFonts w:hint="eastAsia" w:ascii="仿宋_GB2312" w:hAnsi="仿宋_GB2312" w:eastAsia="仿宋_GB2312" w:cs="仿宋_GB2312"/>
          <w:b w:val="0"/>
          <w:bCs w:val="0"/>
          <w:kern w:val="2"/>
          <w:sz w:val="32"/>
          <w:szCs w:val="32"/>
        </w:rPr>
        <w:t>年决算减</w:t>
      </w:r>
      <w:r>
        <w:rPr>
          <w:rFonts w:hint="eastAsia" w:ascii="仿宋_GB2312" w:hAnsi="仿宋_GB2312" w:eastAsia="仿宋_GB2312" w:cs="仿宋_GB2312"/>
          <w:b w:val="0"/>
          <w:bCs w:val="0"/>
          <w:kern w:val="2"/>
          <w:sz w:val="32"/>
          <w:szCs w:val="32"/>
          <w:lang w:eastAsia="zh-CN"/>
        </w:rPr>
        <w:t>增加</w:t>
      </w:r>
      <w:r>
        <w:rPr>
          <w:rFonts w:hint="eastAsia" w:ascii="仿宋_GB2312" w:hAnsi="仿宋_GB2312" w:eastAsia="仿宋_GB2312" w:cs="仿宋_GB2312"/>
          <w:b w:val="0"/>
          <w:bCs w:val="0"/>
          <w:kern w:val="2"/>
          <w:sz w:val="32"/>
          <w:szCs w:val="32"/>
          <w:lang w:val="en-US" w:eastAsia="zh-CN"/>
        </w:rPr>
        <w:t>1.65</w:t>
      </w:r>
      <w:r>
        <w:rPr>
          <w:rFonts w:hint="eastAsia" w:ascii="仿宋_GB2312" w:hAnsi="仿宋_GB2312" w:eastAsia="仿宋_GB2312" w:cs="仿宋_GB2312"/>
          <w:b w:val="0"/>
          <w:bCs w:val="0"/>
          <w:kern w:val="2"/>
          <w:sz w:val="32"/>
          <w:szCs w:val="32"/>
        </w:rPr>
        <w:t>万元。</w:t>
      </w:r>
    </w:p>
    <w:p>
      <w:pPr>
        <w:widowControl/>
        <w:spacing w:line="540" w:lineRule="exact"/>
        <w:ind w:firstLine="640" w:firstLineChars="20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w:t>
      </w:r>
      <w:r>
        <w:rPr>
          <w:rFonts w:hint="eastAsia" w:ascii="仿宋_GB2312" w:hAnsi="仿宋" w:eastAsia="仿宋_GB2312"/>
          <w:sz w:val="32"/>
          <w:szCs w:val="32"/>
          <w:lang w:val="en-US" w:eastAsia="zh-CN"/>
        </w:rPr>
        <w:t>因公出国（境）费支出0万元。本部门2017年度因公出国（境）团组0个，因公出国（境）人次数0人。因公出国（境）费支出较年初预算无增减变化，较2016年度决算无增减变化。</w:t>
      </w:r>
    </w:p>
    <w:p>
      <w:pPr>
        <w:keepNext w:val="0"/>
        <w:keepLines w:val="0"/>
        <w:pageBreakBefore w:val="0"/>
        <w:kinsoku/>
        <w:wordWrap/>
        <w:overflowPunct/>
        <w:topLinePunct w:val="0"/>
        <w:autoSpaceDE w:val="0"/>
        <w:autoSpaceDN w:val="0"/>
        <w:bidi w:val="0"/>
        <w:adjustRightInd w:val="0"/>
        <w:spacing w:line="580" w:lineRule="exact"/>
        <w:ind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公务用车购置及运行维护费</w:t>
      </w:r>
      <w:r>
        <w:rPr>
          <w:rFonts w:hint="eastAsia" w:ascii="仿宋_GB2312" w:hAnsi="仿宋_GB2312" w:eastAsia="仿宋_GB2312" w:cs="仿宋_GB2312"/>
          <w:b w:val="0"/>
          <w:bCs w:val="0"/>
          <w:sz w:val="32"/>
          <w:szCs w:val="32"/>
          <w:lang w:val="en-US" w:eastAsia="zh-CN"/>
        </w:rPr>
        <w:t>9.34</w:t>
      </w:r>
      <w:r>
        <w:rPr>
          <w:rFonts w:hint="eastAsia" w:ascii="仿宋_GB2312" w:hAnsi="仿宋_GB2312" w:eastAsia="仿宋_GB2312" w:cs="仿宋_GB2312"/>
          <w:b w:val="0"/>
          <w:bCs w:val="0"/>
          <w:sz w:val="32"/>
          <w:szCs w:val="32"/>
        </w:rPr>
        <w:t>万元（公务用车购置数量0辆，公车运行维护费</w:t>
      </w:r>
      <w:r>
        <w:rPr>
          <w:rFonts w:hint="eastAsia" w:ascii="仿宋_GB2312" w:hAnsi="仿宋_GB2312" w:eastAsia="仿宋_GB2312" w:cs="仿宋_GB2312"/>
          <w:b w:val="0"/>
          <w:bCs w:val="0"/>
          <w:sz w:val="32"/>
          <w:szCs w:val="32"/>
          <w:lang w:val="en-US" w:eastAsia="zh-CN"/>
        </w:rPr>
        <w:t>9.34</w:t>
      </w:r>
      <w:r>
        <w:rPr>
          <w:rFonts w:hint="eastAsia" w:ascii="仿宋_GB2312" w:hAnsi="仿宋_GB2312" w:eastAsia="仿宋_GB2312" w:cs="仿宋_GB2312"/>
          <w:b w:val="0"/>
          <w:bCs w:val="0"/>
          <w:sz w:val="32"/>
          <w:szCs w:val="32"/>
        </w:rPr>
        <w:t>万元，年末公务用车保有量3辆），比预算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4.34</w:t>
      </w:r>
      <w:r>
        <w:rPr>
          <w:rFonts w:hint="eastAsia" w:ascii="仿宋_GB2312" w:hAnsi="仿宋_GB2312" w:eastAsia="仿宋_GB2312" w:cs="仿宋_GB2312"/>
          <w:b w:val="0"/>
          <w:bCs w:val="0"/>
          <w:sz w:val="32"/>
          <w:szCs w:val="32"/>
        </w:rPr>
        <w:t>万元，比201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年度决算</w:t>
      </w:r>
      <w:r>
        <w:rPr>
          <w:rFonts w:hint="eastAsia" w:ascii="仿宋_GB2312" w:hAnsi="仿宋_GB2312" w:eastAsia="仿宋_GB2312" w:cs="仿宋_GB2312"/>
          <w:b w:val="0"/>
          <w:bCs w:val="0"/>
          <w:sz w:val="32"/>
          <w:szCs w:val="32"/>
          <w:lang w:eastAsia="zh-CN"/>
        </w:rPr>
        <w:t>增加</w:t>
      </w:r>
      <w:r>
        <w:rPr>
          <w:rFonts w:hint="eastAsia" w:ascii="仿宋_GB2312" w:hAnsi="仿宋_GB2312" w:eastAsia="仿宋_GB2312" w:cs="仿宋_GB2312"/>
          <w:b w:val="0"/>
          <w:bCs w:val="0"/>
          <w:sz w:val="32"/>
          <w:szCs w:val="32"/>
          <w:lang w:val="en-US" w:eastAsia="zh-CN"/>
        </w:rPr>
        <w:t>1.84</w:t>
      </w:r>
      <w:r>
        <w:rPr>
          <w:rFonts w:hint="eastAsia" w:ascii="仿宋_GB2312" w:hAnsi="仿宋_GB2312" w:eastAsia="仿宋_GB2312" w:cs="仿宋_GB2312"/>
          <w:b w:val="0"/>
          <w:bCs w:val="0"/>
          <w:sz w:val="32"/>
          <w:szCs w:val="32"/>
        </w:rPr>
        <w:t>万元，原因是</w:t>
      </w:r>
      <w:r>
        <w:rPr>
          <w:rFonts w:hint="eastAsia" w:ascii="仿宋_GB2312" w:hAnsi="仿宋_GB2312" w:eastAsia="仿宋_GB2312" w:cs="仿宋_GB2312"/>
          <w:b w:val="0"/>
          <w:bCs w:val="0"/>
          <w:sz w:val="32"/>
          <w:szCs w:val="32"/>
          <w:lang w:eastAsia="zh-CN"/>
        </w:rPr>
        <w:t>社会救助工作量加大，需下乡入户核查</w:t>
      </w:r>
      <w:r>
        <w:rPr>
          <w:rFonts w:hint="eastAsia" w:ascii="仿宋_GB2312" w:hAnsi="仿宋_GB2312" w:eastAsia="仿宋_GB2312" w:cs="仿宋_GB2312"/>
          <w:b w:val="0"/>
          <w:bCs w:val="0"/>
          <w:sz w:val="32"/>
          <w:szCs w:val="32"/>
        </w:rPr>
        <w:t>；</w:t>
      </w:r>
    </w:p>
    <w:p>
      <w:pPr>
        <w:keepNext w:val="0"/>
        <w:keepLines w:val="0"/>
        <w:pageBreakBefore w:val="0"/>
        <w:kinsoku/>
        <w:wordWrap/>
        <w:overflowPunct/>
        <w:topLinePunct w:val="0"/>
        <w:autoSpaceDE w:val="0"/>
        <w:autoSpaceDN w:val="0"/>
        <w:bidi w:val="0"/>
        <w:adjustRightInd w:val="0"/>
        <w:spacing w:line="580" w:lineRule="exact"/>
        <w:ind w:right="0" w:rightChars="0"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公务接待费</w:t>
      </w:r>
      <w:r>
        <w:rPr>
          <w:rFonts w:hint="eastAsia" w:ascii="仿宋_GB2312" w:hAnsi="仿宋_GB2312" w:eastAsia="仿宋_GB2312" w:cs="仿宋_GB2312"/>
          <w:b w:val="0"/>
          <w:bCs w:val="0"/>
          <w:sz w:val="32"/>
          <w:szCs w:val="32"/>
          <w:lang w:val="en-US" w:eastAsia="zh-CN"/>
        </w:rPr>
        <w:t>0.19</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（201</w:t>
      </w: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年度国内公务接待</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批次，合计接待</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人次），比预算减少0.</w:t>
      </w:r>
      <w:r>
        <w:rPr>
          <w:rFonts w:hint="eastAsia" w:ascii="仿宋_GB2312" w:hAnsi="仿宋_GB2312" w:eastAsia="仿宋_GB2312" w:cs="仿宋_GB2312"/>
          <w:b w:val="0"/>
          <w:bCs w:val="0"/>
          <w:sz w:val="32"/>
          <w:szCs w:val="32"/>
          <w:lang w:val="en-US" w:eastAsia="zh-CN"/>
        </w:rPr>
        <w:t>34</w:t>
      </w:r>
      <w:r>
        <w:rPr>
          <w:rFonts w:hint="eastAsia" w:ascii="仿宋_GB2312" w:hAnsi="仿宋_GB2312" w:eastAsia="仿宋_GB2312" w:cs="仿宋_GB2312"/>
          <w:b w:val="0"/>
          <w:bCs w:val="0"/>
          <w:sz w:val="32"/>
          <w:szCs w:val="32"/>
        </w:rPr>
        <w:t>万元，原因是减少公务接待。</w:t>
      </w:r>
    </w:p>
    <w:p>
      <w:pPr>
        <w:keepNext w:val="0"/>
        <w:keepLines w:val="0"/>
        <w:pageBreakBefore w:val="0"/>
        <w:kinsoku/>
        <w:wordWrap/>
        <w:overflowPunct/>
        <w:topLinePunct w:val="0"/>
        <w:bidi w:val="0"/>
        <w:snapToGrid w:val="0"/>
        <w:spacing w:line="600" w:lineRule="exact"/>
        <w:ind w:right="0" w:rightChars="0"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六</w:t>
      </w:r>
      <w:r>
        <w:rPr>
          <w:rFonts w:hint="eastAsia" w:ascii="楷体" w:hAnsi="楷体" w:eastAsia="楷体" w:cs="楷体"/>
          <w:b/>
          <w:bCs/>
          <w:sz w:val="32"/>
          <w:szCs w:val="32"/>
          <w:lang w:eastAsia="zh-CN"/>
        </w:rPr>
        <w:t>、</w:t>
      </w:r>
      <w:r>
        <w:rPr>
          <w:rFonts w:hint="eastAsia" w:ascii="楷体" w:hAnsi="楷体" w:eastAsia="楷体" w:cs="楷体"/>
          <w:b/>
          <w:bCs/>
          <w:sz w:val="32"/>
          <w:szCs w:val="32"/>
        </w:rPr>
        <w:t>绩效预算管理工作开展情况说明</w:t>
      </w:r>
    </w:p>
    <w:p>
      <w:pPr>
        <w:autoSpaceDE w:val="0"/>
        <w:autoSpaceDN w:val="0"/>
        <w:snapToGrid w:val="0"/>
        <w:spacing w:line="540" w:lineRule="exact"/>
        <w:ind w:firstLine="643" w:firstLineChars="200"/>
        <w:rPr>
          <w:rFonts w:hint="eastAsia"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rPr>
        <w:t>（一）绩效管理工作开展情况</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left="638" w:leftChars="304"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按照《中华人民共和国预算法》规定及《大厂回族自治县财政局关于印发深化绩效预算管理改革实施方案的通知》（〔2015〕29号）工作的相关要求，我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积极部署推进预算绩效管理工作。具体开展情况如下：  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，大厂回族自治县</w:t>
      </w:r>
      <w:r>
        <w:rPr>
          <w:rFonts w:hint="eastAsia" w:ascii="仿宋_GB2312" w:hAnsi="仿宋_GB2312" w:eastAsia="仿宋_GB2312" w:cs="仿宋_GB2312"/>
          <w:sz w:val="32"/>
          <w:szCs w:val="32"/>
          <w:lang w:val="en-US" w:eastAsia="zh-CN"/>
        </w:rPr>
        <w:t>民政</w:t>
      </w:r>
      <w:r>
        <w:rPr>
          <w:rFonts w:hint="eastAsia" w:ascii="仿宋_GB2312" w:hAnsi="仿宋_GB2312" w:eastAsia="仿宋_GB2312" w:cs="仿宋_GB2312"/>
          <w:sz w:val="32"/>
          <w:szCs w:val="32"/>
        </w:rPr>
        <w:t>局以绩效目标实现为导向，进一步加强制度建设，提升自评质量，力争预算绩效管理取得新成效。</w:t>
      </w:r>
    </w:p>
    <w:p>
      <w:pPr>
        <w:keepNext w:val="0"/>
        <w:keepLines w:val="0"/>
        <w:pageBreakBefore w:val="0"/>
        <w:numPr>
          <w:ilvl w:val="0"/>
          <w:numId w:val="0"/>
        </w:numPr>
        <w:kinsoku/>
        <w:wordWrap/>
        <w:overflowPunct/>
        <w:topLinePunct w:val="0"/>
        <w:bidi w:val="0"/>
        <w:snapToGrid w:val="0"/>
        <w:spacing w:line="600" w:lineRule="exact"/>
        <w:ind w:right="0" w:rightChars="0" w:firstLine="640" w:firstLineChars="200"/>
        <w:jc w:val="left"/>
        <w:textAlignment w:val="auto"/>
        <w:rPr>
          <w:rFonts w:hint="eastAsia" w:ascii="楷体" w:hAnsi="楷体" w:eastAsia="楷体" w:cs="楷体"/>
          <w:bCs/>
          <w:sz w:val="32"/>
          <w:szCs w:val="32"/>
        </w:rPr>
      </w:pPr>
      <w:r>
        <w:rPr>
          <w:rFonts w:hint="eastAsia" w:ascii="楷体" w:hAnsi="楷体" w:eastAsia="楷体" w:cs="楷体"/>
          <w:bCs/>
          <w:sz w:val="32"/>
          <w:szCs w:val="32"/>
          <w:lang w:val="en-US" w:eastAsia="zh-CN"/>
        </w:rPr>
        <w:t>（二）</w:t>
      </w:r>
      <w:r>
        <w:rPr>
          <w:rFonts w:hint="eastAsia" w:ascii="楷体" w:hAnsi="楷体" w:eastAsia="楷体" w:cs="楷体"/>
          <w:b/>
          <w:kern w:val="0"/>
          <w:sz w:val="32"/>
          <w:szCs w:val="32"/>
          <w:shd w:val="clear" w:color="auto" w:fill="FFFFFF"/>
        </w:rPr>
        <w:t>预算项目绩效评价开展情况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绩效管理工作水平。</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b/>
          <w:kern w:val="0"/>
          <w:sz w:val="32"/>
          <w:szCs w:val="32"/>
          <w:shd w:val="clear" w:color="auto" w:fill="FFFFFF"/>
        </w:rPr>
      </w:pPr>
      <w:r>
        <w:rPr>
          <w:rFonts w:hint="eastAsia" w:ascii="楷体" w:hAnsi="楷体" w:eastAsia="楷体" w:cs="楷体"/>
          <w:sz w:val="32"/>
          <w:szCs w:val="32"/>
          <w:lang w:val="en-US" w:eastAsia="zh-CN"/>
        </w:rPr>
        <w:t>（三）</w:t>
      </w:r>
      <w:r>
        <w:rPr>
          <w:rFonts w:hint="eastAsia" w:ascii="楷体" w:hAnsi="楷体" w:eastAsia="楷体" w:cs="楷体"/>
          <w:b/>
          <w:kern w:val="0"/>
          <w:sz w:val="32"/>
          <w:szCs w:val="32"/>
          <w:shd w:val="clear" w:color="auto" w:fill="FFFFFF"/>
        </w:rPr>
        <w:t>预算项目绩效自评选例</w:t>
      </w:r>
    </w:p>
    <w:p>
      <w:pPr>
        <w:keepNext w:val="0"/>
        <w:keepLines w:val="0"/>
        <w:pageBreakBefore w:val="0"/>
        <w:numPr>
          <w:ilvl w:val="0"/>
          <w:numId w:val="0"/>
        </w:numPr>
        <w:kinsoku/>
        <w:wordWrap/>
        <w:overflowPunct/>
        <w:topLinePunct w:val="0"/>
        <w:bidi w:val="0"/>
        <w:snapToGrid w:val="0"/>
        <w:spacing w:line="600" w:lineRule="exact"/>
        <w:ind w:right="0" w:rightChars="0" w:firstLine="640" w:firstLineChars="200"/>
        <w:jc w:val="left"/>
        <w:textAlignment w:val="auto"/>
        <w:rPr>
          <w:rFonts w:hint="eastAsia" w:ascii="仿宋_GB2312" w:hAnsi="仿宋_GB2312" w:eastAsia="仿宋_GB2312" w:cs="仿宋_GB2312"/>
          <w:kern w:val="0"/>
          <w:sz w:val="32"/>
          <w:szCs w:val="32"/>
          <w:highlight w:val="none"/>
          <w:shd w:val="clear" w:color="auto" w:fill="FFFFFF"/>
        </w:rPr>
      </w:pPr>
      <w:r>
        <w:rPr>
          <w:rFonts w:hint="eastAsia" w:ascii="仿宋_GB2312" w:hAnsi="仿宋_GB2312" w:eastAsia="仿宋_GB2312" w:cs="仿宋_GB2312"/>
          <w:sz w:val="32"/>
          <w:szCs w:val="32"/>
          <w:highlight w:val="none"/>
        </w:rPr>
        <w:t>2017年我单位以支出金额较大的项目“</w:t>
      </w:r>
      <w:r>
        <w:rPr>
          <w:rFonts w:hint="eastAsia" w:ascii="仿宋_GB2312" w:hAnsi="仿宋_GB2312" w:eastAsia="仿宋_GB2312" w:cs="仿宋_GB2312"/>
          <w:sz w:val="32"/>
          <w:szCs w:val="32"/>
          <w:highlight w:val="none"/>
          <w:lang w:val="en-US" w:eastAsia="zh-CN"/>
        </w:rPr>
        <w:t>城乡最低生活保障资金</w:t>
      </w:r>
      <w:r>
        <w:rPr>
          <w:rFonts w:hint="eastAsia" w:ascii="仿宋_GB2312" w:hAnsi="仿宋_GB2312" w:eastAsia="仿宋_GB2312" w:cs="仿宋_GB2312"/>
          <w:sz w:val="32"/>
          <w:szCs w:val="32"/>
          <w:highlight w:val="none"/>
        </w:rPr>
        <w:t>”为标本进行了绩效评价，撰写了自评报告，并填写了预算项目绩效运行监控情况表，项目“</w:t>
      </w:r>
      <w:r>
        <w:rPr>
          <w:rFonts w:hint="eastAsia" w:ascii="仿宋_GB2312" w:hAnsi="仿宋_GB2312" w:eastAsia="仿宋_GB2312" w:cs="仿宋_GB2312"/>
          <w:sz w:val="32"/>
          <w:szCs w:val="32"/>
          <w:highlight w:val="none"/>
          <w:lang w:val="en-US" w:eastAsia="zh-CN"/>
        </w:rPr>
        <w:t>城乡最低生活保障资金</w:t>
      </w:r>
      <w:r>
        <w:rPr>
          <w:rFonts w:hint="eastAsia" w:ascii="仿宋_GB2312" w:hAnsi="仿宋_GB2312" w:eastAsia="仿宋_GB2312" w:cs="仿宋_GB2312"/>
          <w:sz w:val="32"/>
          <w:szCs w:val="32"/>
          <w:highlight w:val="none"/>
        </w:rPr>
        <w:t>”综合评分为100分，评价为“优”。今后我单位会将绩效评价工作运用到全部专项公用项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0"/>
          <w:sz w:val="32"/>
          <w:szCs w:val="32"/>
          <w:highlight w:val="none"/>
          <w:shd w:val="clear" w:color="auto" w:fill="FFFFFF"/>
        </w:rPr>
        <w:t>本部门以“</w:t>
      </w:r>
      <w:r>
        <w:rPr>
          <w:rFonts w:hint="eastAsia" w:ascii="仿宋_GB2312" w:hAnsi="仿宋_GB2312" w:eastAsia="仿宋_GB2312" w:cs="仿宋_GB2312"/>
          <w:sz w:val="32"/>
          <w:szCs w:val="32"/>
          <w:highlight w:val="none"/>
          <w:lang w:val="en-US" w:eastAsia="zh-CN"/>
        </w:rPr>
        <w:t>城乡最低生活保障资金</w:t>
      </w:r>
      <w:r>
        <w:rPr>
          <w:rFonts w:hint="eastAsia" w:ascii="仿宋_GB2312" w:hAnsi="仿宋_GB2312" w:eastAsia="仿宋_GB2312" w:cs="仿宋_GB2312"/>
          <w:kern w:val="0"/>
          <w:sz w:val="32"/>
          <w:szCs w:val="32"/>
          <w:highlight w:val="none"/>
          <w:shd w:val="clear" w:color="auto" w:fill="FFFFFF"/>
        </w:rPr>
        <w:t>”为例进行了自评，其中项目绩效达标，得分为100分。</w:t>
      </w:r>
    </w:p>
    <w:p>
      <w:pPr>
        <w:autoSpaceDE w:val="0"/>
        <w:autoSpaceDN w:val="0"/>
        <w:snapToGrid w:val="0"/>
        <w:spacing w:line="540" w:lineRule="exact"/>
        <w:ind w:firstLine="643" w:firstLineChars="200"/>
        <w:rPr>
          <w:rFonts w:hint="eastAsia" w:ascii="楷体" w:hAnsi="楷体" w:eastAsia="楷体" w:cs="楷体"/>
          <w:b/>
          <w:bCs/>
          <w:kern w:val="0"/>
          <w:sz w:val="32"/>
          <w:szCs w:val="32"/>
          <w:shd w:val="clear" w:color="auto" w:fill="FFFFFF"/>
        </w:rPr>
      </w:pPr>
      <w:r>
        <w:rPr>
          <w:rFonts w:hint="eastAsia" w:ascii="楷体" w:hAnsi="楷体" w:eastAsia="楷体" w:cs="楷体"/>
          <w:b/>
          <w:bCs/>
          <w:kern w:val="0"/>
          <w:sz w:val="32"/>
          <w:szCs w:val="32"/>
          <w:shd w:val="clear" w:color="auto" w:fill="FFFFFF"/>
        </w:rPr>
        <w:t>七、其他重要事项的说明</w:t>
      </w:r>
    </w:p>
    <w:p>
      <w:pPr>
        <w:autoSpaceDE w:val="0"/>
        <w:autoSpaceDN w:val="0"/>
        <w:snapToGrid w:val="0"/>
        <w:spacing w:line="540" w:lineRule="exact"/>
        <w:ind w:firstLine="643" w:firstLineChars="200"/>
        <w:rPr>
          <w:rFonts w:hint="eastAsia" w:ascii="楷体" w:hAnsi="楷体" w:eastAsia="楷体" w:cs="楷体"/>
          <w:b/>
          <w:bCs/>
          <w:kern w:val="0"/>
          <w:sz w:val="32"/>
          <w:szCs w:val="32"/>
          <w:shd w:val="clear" w:color="auto" w:fill="FFFFFF"/>
        </w:rPr>
      </w:pPr>
      <w:r>
        <w:rPr>
          <w:rFonts w:hint="eastAsia" w:ascii="楷体" w:hAnsi="楷体" w:eastAsia="楷体" w:cs="仿宋_GB2312"/>
          <w:b/>
          <w:kern w:val="0"/>
          <w:sz w:val="32"/>
          <w:szCs w:val="32"/>
          <w:shd w:val="clear" w:color="auto" w:fill="FFFFFF"/>
        </w:rPr>
        <w:t>（一）机关运行经费情况</w:t>
      </w:r>
    </w:p>
    <w:p>
      <w:pPr>
        <w:keepNext w:val="0"/>
        <w:keepLines w:val="0"/>
        <w:pageBreakBefore w:val="0"/>
        <w:kinsoku/>
        <w:wordWrap/>
        <w:overflowPunct/>
        <w:topLinePunct w:val="0"/>
        <w:bidi w:val="0"/>
        <w:snapToGrid w:val="0"/>
        <w:spacing w:line="600" w:lineRule="exact"/>
        <w:ind w:right="0" w:rightChars="0" w:firstLine="640" w:firstLineChars="200"/>
        <w:jc w:val="left"/>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201</w:t>
      </w:r>
      <w:r>
        <w:rPr>
          <w:rFonts w:hint="eastAsia" w:ascii="仿宋_GB2312" w:hAnsi="仿宋_GB2312" w:eastAsia="仿宋_GB2312" w:cs="仿宋_GB2312"/>
          <w:kern w:val="2"/>
          <w:sz w:val="32"/>
          <w:szCs w:val="32"/>
          <w:lang w:val="en-US" w:eastAsia="zh-CN"/>
        </w:rPr>
        <w:t>7</w:t>
      </w:r>
      <w:r>
        <w:rPr>
          <w:rFonts w:hint="eastAsia" w:ascii="仿宋_GB2312" w:hAnsi="仿宋_GB2312" w:eastAsia="仿宋_GB2312" w:cs="仿宋_GB2312"/>
          <w:kern w:val="2"/>
          <w:sz w:val="32"/>
          <w:szCs w:val="32"/>
        </w:rPr>
        <w:t>年度机关运行经费支出</w:t>
      </w:r>
      <w:r>
        <w:rPr>
          <w:rFonts w:hint="eastAsia" w:ascii="仿宋_GB2312" w:hAnsi="仿宋_GB2312" w:eastAsia="仿宋_GB2312" w:cs="仿宋_GB2312"/>
          <w:kern w:val="2"/>
          <w:sz w:val="32"/>
          <w:szCs w:val="32"/>
          <w:lang w:val="en-US" w:eastAsia="zh-CN"/>
        </w:rPr>
        <w:t>725.52</w:t>
      </w:r>
      <w:r>
        <w:rPr>
          <w:rFonts w:hint="eastAsia" w:ascii="仿宋_GB2312" w:hAnsi="仿宋_GB2312" w:eastAsia="仿宋_GB2312" w:cs="仿宋_GB2312"/>
          <w:kern w:val="2"/>
          <w:sz w:val="32"/>
          <w:szCs w:val="32"/>
        </w:rPr>
        <w:t>万元，比201</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年增加</w:t>
      </w:r>
      <w:r>
        <w:rPr>
          <w:rFonts w:hint="eastAsia" w:ascii="仿宋_GB2312" w:hAnsi="仿宋_GB2312" w:eastAsia="仿宋_GB2312" w:cs="仿宋_GB2312"/>
          <w:kern w:val="2"/>
          <w:sz w:val="32"/>
          <w:szCs w:val="32"/>
          <w:lang w:val="en-US" w:eastAsia="zh-CN"/>
        </w:rPr>
        <w:t>68.27</w:t>
      </w:r>
      <w:r>
        <w:rPr>
          <w:rFonts w:hint="eastAsia" w:ascii="仿宋_GB2312" w:hAnsi="仿宋_GB2312" w:eastAsia="仿宋_GB2312" w:cs="仿宋_GB2312"/>
          <w:kern w:val="2"/>
          <w:sz w:val="32"/>
          <w:szCs w:val="32"/>
        </w:rPr>
        <w:t>万元，增加</w:t>
      </w:r>
      <w:r>
        <w:rPr>
          <w:rFonts w:hint="eastAsia" w:ascii="仿宋_GB2312" w:hAnsi="仿宋_GB2312" w:eastAsia="仿宋_GB2312" w:cs="仿宋_GB2312"/>
          <w:kern w:val="2"/>
          <w:sz w:val="32"/>
          <w:szCs w:val="32"/>
          <w:lang w:val="en-US" w:eastAsia="zh-CN"/>
        </w:rPr>
        <w:t>9.4</w:t>
      </w:r>
      <w:r>
        <w:rPr>
          <w:rFonts w:hint="eastAsia" w:ascii="仿宋_GB2312" w:hAnsi="仿宋_GB2312" w:eastAsia="仿宋_GB2312" w:cs="仿宋_GB2312"/>
          <w:kern w:val="2"/>
          <w:sz w:val="32"/>
          <w:szCs w:val="32"/>
        </w:rPr>
        <w:t>%。主要原因是人员增加及民政综合改革试验区公用经费的支出。</w:t>
      </w:r>
    </w:p>
    <w:p>
      <w:pPr>
        <w:keepNext w:val="0"/>
        <w:keepLines w:val="0"/>
        <w:pageBreakBefore w:val="0"/>
        <w:numPr>
          <w:ilvl w:val="0"/>
          <w:numId w:val="0"/>
        </w:numPr>
        <w:kinsoku/>
        <w:wordWrap/>
        <w:overflowPunct/>
        <w:topLinePunct w:val="0"/>
        <w:bidi w:val="0"/>
        <w:snapToGrid w:val="0"/>
        <w:spacing w:line="600" w:lineRule="exact"/>
        <w:ind w:leftChars="200" w:right="0" w:rightChars="0"/>
        <w:jc w:val="left"/>
        <w:textAlignment w:val="auto"/>
        <w:rPr>
          <w:rFonts w:hint="eastAsia" w:ascii="楷体" w:hAnsi="楷体" w:eastAsia="楷体" w:cs="仿宋_GB2312"/>
          <w:b/>
          <w:kern w:val="0"/>
          <w:sz w:val="32"/>
          <w:szCs w:val="32"/>
          <w:shd w:val="clear" w:color="auto" w:fill="FFFFFF"/>
        </w:rPr>
      </w:pPr>
      <w:r>
        <w:rPr>
          <w:rFonts w:hint="eastAsia" w:ascii="楷体" w:hAnsi="楷体" w:eastAsia="楷体" w:cs="仿宋_GB2312"/>
          <w:b/>
          <w:kern w:val="0"/>
          <w:sz w:val="32"/>
          <w:szCs w:val="32"/>
          <w:shd w:val="clear" w:color="auto" w:fill="FFFFFF"/>
          <w:lang w:eastAsia="zh-CN"/>
        </w:rPr>
        <w:t>（</w:t>
      </w:r>
      <w:r>
        <w:rPr>
          <w:rFonts w:hint="eastAsia" w:ascii="楷体" w:hAnsi="楷体" w:eastAsia="楷体" w:cs="仿宋_GB2312"/>
          <w:b/>
          <w:kern w:val="0"/>
          <w:sz w:val="32"/>
          <w:szCs w:val="32"/>
          <w:shd w:val="clear" w:color="auto" w:fill="FFFFFF"/>
          <w:lang w:val="en-US" w:eastAsia="zh-CN"/>
        </w:rPr>
        <w:t>二</w:t>
      </w:r>
      <w:r>
        <w:rPr>
          <w:rFonts w:hint="eastAsia" w:ascii="楷体" w:hAnsi="楷体" w:eastAsia="楷体" w:cs="仿宋_GB2312"/>
          <w:b/>
          <w:kern w:val="0"/>
          <w:sz w:val="32"/>
          <w:szCs w:val="32"/>
          <w:shd w:val="clear" w:color="auto" w:fill="FFFFFF"/>
          <w:lang w:eastAsia="zh-CN"/>
        </w:rPr>
        <w:t>）</w:t>
      </w:r>
      <w:r>
        <w:rPr>
          <w:rFonts w:hint="eastAsia" w:ascii="楷体" w:hAnsi="楷体" w:eastAsia="楷体" w:cs="仿宋_GB2312"/>
          <w:b/>
          <w:kern w:val="0"/>
          <w:sz w:val="32"/>
          <w:szCs w:val="32"/>
          <w:shd w:val="clear" w:color="auto" w:fill="FFFFFF"/>
        </w:rPr>
        <w:t>政府采购情况</w:t>
      </w:r>
    </w:p>
    <w:p>
      <w:pPr>
        <w:keepNext w:val="0"/>
        <w:keepLines w:val="0"/>
        <w:pageBreakBefore w:val="0"/>
        <w:kinsoku/>
        <w:wordWrap/>
        <w:overflowPunct/>
        <w:topLinePunct w:val="0"/>
        <w:bidi w:val="0"/>
        <w:snapToGrid w:val="0"/>
        <w:spacing w:line="600" w:lineRule="exact"/>
        <w:ind w:right="0" w:rightChars="0" w:firstLine="640" w:firstLineChars="200"/>
        <w:jc w:val="left"/>
        <w:textAlignment w:val="auto"/>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本部门2017年度政府采购实际支出总额0万元，其中：政府采购货物支出0万元，政府采购工程支出0万元，政府采购服务支出0万元。</w:t>
      </w:r>
    </w:p>
    <w:p>
      <w:pPr>
        <w:widowControl/>
        <w:spacing w:line="520" w:lineRule="exact"/>
        <w:ind w:firstLine="643" w:firstLineChars="200"/>
        <w:jc w:val="left"/>
        <w:rPr>
          <w:rFonts w:ascii="华文楷体" w:hAnsi="华文楷体" w:eastAsia="华文楷体" w:cs="仿宋"/>
          <w:b/>
          <w:bCs/>
          <w:color w:val="484747"/>
          <w:kern w:val="0"/>
          <w:sz w:val="32"/>
          <w:szCs w:val="32"/>
        </w:rPr>
      </w:pPr>
      <w:r>
        <w:rPr>
          <w:rFonts w:hint="eastAsia" w:ascii="楷体" w:hAnsi="楷体" w:eastAsia="楷体" w:cs="黑体"/>
          <w:b/>
          <w:sz w:val="32"/>
          <w:szCs w:val="32"/>
        </w:rPr>
        <w:t>（三</w:t>
      </w:r>
      <w:r>
        <w:rPr>
          <w:rFonts w:hint="eastAsia" w:ascii="楷体" w:hAnsi="楷体" w:eastAsia="楷体"/>
          <w:sz w:val="32"/>
          <w:szCs w:val="32"/>
        </w:rPr>
        <w:t>）</w:t>
      </w:r>
      <w:r>
        <w:rPr>
          <w:rFonts w:hint="eastAsia" w:ascii="楷体" w:hAnsi="楷体" w:eastAsia="楷体" w:cs="黑体"/>
          <w:b/>
          <w:sz w:val="32"/>
          <w:szCs w:val="32"/>
        </w:rPr>
        <w:t>国有资产占用情况</w:t>
      </w:r>
      <w:r>
        <w:rPr>
          <w:rFonts w:hint="eastAsia" w:ascii="华文楷体" w:hAnsi="华文楷体" w:eastAsia="华文楷体" w:cs="仿宋"/>
          <w:b/>
          <w:bCs/>
          <w:color w:val="484747"/>
          <w:kern w:val="0"/>
          <w:sz w:val="32"/>
          <w:szCs w:val="32"/>
        </w:rPr>
        <w:t xml:space="preserve">         </w:t>
      </w:r>
    </w:p>
    <w:p>
      <w:pPr>
        <w:keepNext w:val="0"/>
        <w:keepLines w:val="0"/>
        <w:pageBreakBefore w:val="0"/>
        <w:numPr>
          <w:ilvl w:val="0"/>
          <w:numId w:val="0"/>
        </w:numPr>
        <w:kinsoku/>
        <w:wordWrap/>
        <w:overflowPunct/>
        <w:topLinePunct w:val="0"/>
        <w:bidi w:val="0"/>
        <w:snapToGrid w:val="0"/>
        <w:spacing w:line="600" w:lineRule="exact"/>
        <w:ind w:right="0" w:rightChars="0" w:firstLine="640" w:firstLineChars="200"/>
        <w:jc w:val="left"/>
        <w:textAlignment w:val="auto"/>
        <w:rPr>
          <w:rFonts w:hint="eastAsia" w:ascii="仿宋_GB2312" w:hAnsi="仿宋_GB2312" w:eastAsia="仿宋_GB2312" w:cstheme="minorBidi"/>
          <w:kern w:val="2"/>
          <w:sz w:val="32"/>
          <w:szCs w:val="32"/>
          <w:lang w:eastAsia="zh-CN"/>
        </w:rPr>
      </w:pPr>
      <w:r>
        <w:rPr>
          <w:rFonts w:hint="eastAsia" w:ascii="仿宋_GB2312" w:hAnsi="仿宋_GB2312" w:eastAsia="仿宋_GB2312" w:cstheme="minorBidi"/>
          <w:kern w:val="2"/>
          <w:sz w:val="32"/>
          <w:szCs w:val="32"/>
          <w:lang w:eastAsia="zh-CN"/>
        </w:rPr>
        <w:t>本部门国有资产占有总体情况是</w:t>
      </w:r>
      <w:r>
        <w:rPr>
          <w:rFonts w:hint="eastAsia" w:ascii="仿宋_GB2312" w:hAnsi="仿宋_GB2312" w:eastAsia="仿宋_GB2312" w:cstheme="minorBidi"/>
          <w:kern w:val="2"/>
          <w:sz w:val="32"/>
          <w:szCs w:val="32"/>
        </w:rPr>
        <w:t>截至201</w:t>
      </w:r>
      <w:r>
        <w:rPr>
          <w:rFonts w:hint="eastAsia" w:ascii="仿宋_GB2312" w:hAnsi="仿宋_GB2312" w:eastAsia="仿宋_GB2312" w:cstheme="minorBidi"/>
          <w:kern w:val="2"/>
          <w:sz w:val="32"/>
          <w:szCs w:val="32"/>
          <w:lang w:val="en-US" w:eastAsia="zh-CN"/>
        </w:rPr>
        <w:t>7</w:t>
      </w:r>
      <w:r>
        <w:rPr>
          <w:rFonts w:hint="eastAsia" w:ascii="仿宋_GB2312" w:hAnsi="仿宋_GB2312" w:eastAsia="仿宋_GB2312" w:cstheme="minorBidi"/>
          <w:kern w:val="2"/>
          <w:sz w:val="32"/>
          <w:szCs w:val="32"/>
        </w:rPr>
        <w:t>年12月31日，</w:t>
      </w:r>
      <w:r>
        <w:rPr>
          <w:rFonts w:hint="eastAsia" w:ascii="仿宋_GB2312" w:hAnsi="仿宋_GB2312" w:eastAsia="仿宋_GB2312" w:cstheme="minorBidi"/>
          <w:kern w:val="2"/>
          <w:sz w:val="32"/>
          <w:szCs w:val="32"/>
          <w:lang w:eastAsia="zh-CN"/>
        </w:rPr>
        <w:t>固定资产金额为</w:t>
      </w:r>
      <w:r>
        <w:rPr>
          <w:rFonts w:hint="eastAsia" w:ascii="仿宋_GB2312" w:hAnsi="仿宋_GB2312" w:eastAsia="仿宋_GB2312" w:cstheme="minorBidi"/>
          <w:kern w:val="2"/>
          <w:sz w:val="32"/>
          <w:szCs w:val="32"/>
          <w:lang w:val="en-US" w:eastAsia="zh-CN"/>
        </w:rPr>
        <w:t>397.4万元，分布构成为：房屋面积为3839.1平米，价值为254.58万元；</w:t>
      </w:r>
      <w:r>
        <w:rPr>
          <w:rFonts w:hint="eastAsia" w:ascii="仿宋_GB2312" w:hAnsi="仿宋_GB2312" w:eastAsia="仿宋_GB2312" w:cstheme="minorBidi"/>
          <w:kern w:val="2"/>
          <w:sz w:val="32"/>
          <w:szCs w:val="32"/>
          <w:lang w:eastAsia="zh-CN"/>
        </w:rPr>
        <w:t>车辆</w:t>
      </w:r>
      <w:r>
        <w:rPr>
          <w:rFonts w:hint="eastAsia" w:ascii="仿宋_GB2312" w:hAnsi="仿宋_GB2312" w:eastAsia="仿宋_GB2312" w:cstheme="minorBidi"/>
          <w:kern w:val="2"/>
          <w:sz w:val="32"/>
          <w:szCs w:val="32"/>
          <w:lang w:val="en-US" w:eastAsia="zh-CN"/>
        </w:rPr>
        <w:t>3</w:t>
      </w:r>
      <w:r>
        <w:rPr>
          <w:rFonts w:hint="eastAsia" w:ascii="仿宋_GB2312" w:hAnsi="仿宋_GB2312" w:eastAsia="仿宋_GB2312" w:cstheme="minorBidi"/>
          <w:kern w:val="2"/>
          <w:sz w:val="32"/>
          <w:szCs w:val="32"/>
          <w:lang w:eastAsia="zh-CN"/>
        </w:rPr>
        <w:t>辆，其中，</w:t>
      </w:r>
      <w:r>
        <w:rPr>
          <w:rFonts w:hint="eastAsia" w:ascii="仿宋_GB2312" w:hAnsi="仿宋_GB2312" w:eastAsia="仿宋_GB2312" w:cs="仿宋_GB2312"/>
          <w:kern w:val="2"/>
          <w:sz w:val="32"/>
          <w:szCs w:val="32"/>
          <w:lang w:eastAsia="zh-CN"/>
        </w:rPr>
        <w:t>救灾抢险用车</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辆</w:t>
      </w:r>
      <w:r>
        <w:rPr>
          <w:rFonts w:hint="eastAsia" w:ascii="仿宋_GB2312" w:hAnsi="仿宋_GB2312" w:eastAsia="仿宋_GB2312" w:cs="仿宋_GB2312"/>
          <w:kern w:val="2"/>
          <w:sz w:val="32"/>
          <w:szCs w:val="32"/>
          <w:lang w:eastAsia="zh-CN"/>
        </w:rPr>
        <w:t>，离退休干部服务用车</w:t>
      </w:r>
      <w:r>
        <w:rPr>
          <w:rFonts w:hint="eastAsia" w:ascii="仿宋_GB2312" w:hAnsi="仿宋_GB2312" w:eastAsia="仿宋_GB2312" w:cs="仿宋_GB2312"/>
          <w:kern w:val="2"/>
          <w:sz w:val="32"/>
          <w:szCs w:val="32"/>
          <w:lang w:val="en-US" w:eastAsia="zh-CN"/>
        </w:rPr>
        <w:t>1辆，军休管理机构用车1辆。</w:t>
      </w:r>
      <w:r>
        <w:rPr>
          <w:rFonts w:hint="eastAsia" w:ascii="仿宋_GB2312" w:hAnsi="仿宋_GB2312" w:eastAsia="仿宋_GB2312" w:cstheme="minorBidi"/>
          <w:kern w:val="2"/>
          <w:sz w:val="32"/>
          <w:szCs w:val="32"/>
          <w:lang w:val="en-US" w:eastAsia="zh-CN"/>
        </w:rPr>
        <w:t>单价在20万元以上的设备为数量0；本年与上年相比增加7.74万元，原因是2017年我部门新购置一批办公设备、专用设备。</w:t>
      </w:r>
      <w:r>
        <w:rPr>
          <w:rFonts w:hint="eastAsia" w:ascii="仿宋_GB2312" w:hAnsi="仿宋_GB2312" w:eastAsia="仿宋_GB2312" w:cstheme="minorBidi"/>
          <w:kern w:val="2"/>
          <w:sz w:val="32"/>
          <w:szCs w:val="32"/>
          <w:lang w:eastAsia="zh-CN"/>
        </w:rPr>
        <w:t>详见下表：</w:t>
      </w:r>
    </w:p>
    <w:tbl>
      <w:tblPr>
        <w:tblStyle w:val="5"/>
        <w:tblW w:w="12210" w:type="dxa"/>
        <w:tblInd w:w="795" w:type="dxa"/>
        <w:tblLayout w:type="fixed"/>
        <w:tblCellMar>
          <w:top w:w="0" w:type="dxa"/>
          <w:left w:w="108" w:type="dxa"/>
          <w:bottom w:w="0" w:type="dxa"/>
          <w:right w:w="108" w:type="dxa"/>
        </w:tblCellMar>
      </w:tblPr>
      <w:tblGrid>
        <w:gridCol w:w="4522"/>
        <w:gridCol w:w="3155"/>
        <w:gridCol w:w="4533"/>
      </w:tblGrid>
      <w:tr>
        <w:tblPrEx>
          <w:tblCellMar>
            <w:top w:w="0" w:type="dxa"/>
            <w:left w:w="108" w:type="dxa"/>
            <w:bottom w:w="0" w:type="dxa"/>
            <w:right w:w="108" w:type="dxa"/>
          </w:tblCellMar>
        </w:tblPrEx>
        <w:trPr>
          <w:trHeight w:val="705" w:hRule="atLeast"/>
        </w:trPr>
        <w:tc>
          <w:tcPr>
            <w:tcW w:w="12210" w:type="dxa"/>
            <w:gridSpan w:val="3"/>
            <w:tcBorders>
              <w:top w:val="nil"/>
              <w:left w:val="nil"/>
              <w:bottom w:val="nil"/>
              <w:right w:val="nil"/>
            </w:tcBorders>
            <w:vAlign w:val="center"/>
          </w:tcPr>
          <w:p>
            <w:pPr>
              <w:widowControl/>
              <w:jc w:val="center"/>
              <w:rPr>
                <w:rFonts w:ascii="宋体" w:cs="宋体"/>
                <w:bCs/>
                <w:kern w:val="0"/>
                <w:sz w:val="32"/>
                <w:szCs w:val="32"/>
              </w:rPr>
            </w:pPr>
            <w:r>
              <w:rPr>
                <w:rFonts w:hint="eastAsia" w:ascii="宋体" w:hAnsi="宋体" w:cs="宋体"/>
                <w:bCs/>
                <w:kern w:val="0"/>
                <w:sz w:val="32"/>
                <w:szCs w:val="32"/>
              </w:rPr>
              <w:t>大厂回族自治县</w:t>
            </w:r>
            <w:r>
              <w:rPr>
                <w:rFonts w:hint="eastAsia" w:ascii="宋体" w:hAnsi="宋体" w:cs="宋体"/>
                <w:bCs/>
                <w:kern w:val="0"/>
                <w:sz w:val="32"/>
                <w:szCs w:val="32"/>
                <w:lang w:val="en-US" w:eastAsia="zh-CN"/>
              </w:rPr>
              <w:t>民政</w:t>
            </w:r>
            <w:r>
              <w:rPr>
                <w:rFonts w:hint="eastAsia" w:ascii="宋体" w:hAnsi="宋体" w:cs="宋体"/>
                <w:bCs/>
                <w:kern w:val="0"/>
                <w:sz w:val="32"/>
                <w:szCs w:val="32"/>
                <w:lang w:eastAsia="zh-CN"/>
              </w:rPr>
              <w:t>局</w:t>
            </w:r>
            <w:r>
              <w:rPr>
                <w:rFonts w:hint="eastAsia" w:ascii="宋体" w:hAnsi="宋体" w:cs="宋体"/>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7677" w:type="dxa"/>
            <w:gridSpan w:val="2"/>
            <w:tcBorders>
              <w:top w:val="nil"/>
              <w:left w:val="nil"/>
              <w:bottom w:val="nil"/>
              <w:right w:val="nil"/>
            </w:tcBorders>
            <w:vAlign w:val="center"/>
          </w:tcPr>
          <w:p>
            <w:pPr>
              <w:widowControl/>
              <w:jc w:val="left"/>
              <w:rPr>
                <w:rFonts w:hint="eastAsia" w:ascii="宋体" w:eastAsia="宋体" w:cs="宋体"/>
                <w:kern w:val="0"/>
                <w:sz w:val="22"/>
                <w:lang w:eastAsia="zh-CN"/>
              </w:rPr>
            </w:pPr>
            <w:r>
              <w:rPr>
                <w:rFonts w:hint="eastAsia" w:ascii="宋体" w:hAnsi="宋体" w:cs="宋体"/>
                <w:kern w:val="0"/>
                <w:sz w:val="22"/>
              </w:rPr>
              <w:t>编制部门：大厂回族自治县</w:t>
            </w:r>
            <w:r>
              <w:rPr>
                <w:rFonts w:hint="eastAsia" w:ascii="宋体" w:hAnsi="宋体" w:cs="宋体"/>
                <w:kern w:val="0"/>
                <w:sz w:val="22"/>
                <w:lang w:eastAsia="zh-CN"/>
              </w:rPr>
              <w:t>人力资源和社会保障局</w:t>
            </w:r>
          </w:p>
        </w:tc>
        <w:tc>
          <w:tcPr>
            <w:tcW w:w="4533" w:type="dxa"/>
            <w:tcBorders>
              <w:top w:val="nil"/>
              <w:left w:val="nil"/>
              <w:bottom w:val="nil"/>
              <w:right w:val="nil"/>
            </w:tcBorders>
            <w:vAlign w:val="center"/>
          </w:tcPr>
          <w:p>
            <w:pPr>
              <w:widowControl/>
              <w:jc w:val="left"/>
              <w:rPr>
                <w:rFonts w:ascii="宋体" w:cs="宋体"/>
                <w:kern w:val="0"/>
                <w:sz w:val="22"/>
              </w:rPr>
            </w:pPr>
            <w:r>
              <w:rPr>
                <w:rFonts w:hint="eastAsia" w:ascii="宋体" w:hAnsi="宋体" w:cs="宋体"/>
                <w:kern w:val="0"/>
                <w:sz w:val="22"/>
              </w:rPr>
              <w:t>截止时间：</w:t>
            </w:r>
            <w:r>
              <w:rPr>
                <w:rFonts w:ascii="宋体" w:hAnsi="宋体" w:cs="宋体"/>
                <w:kern w:val="0"/>
                <w:sz w:val="22"/>
              </w:rPr>
              <w:t>201</w:t>
            </w:r>
            <w:r>
              <w:rPr>
                <w:rFonts w:hint="eastAsia" w:ascii="宋体" w:hAnsi="宋体" w:cs="宋体"/>
                <w:kern w:val="0"/>
                <w:sz w:val="22"/>
                <w:lang w:val="en-US" w:eastAsia="zh-CN"/>
              </w:rPr>
              <w:t>7</w:t>
            </w:r>
            <w:r>
              <w:rPr>
                <w:rFonts w:hint="eastAsia" w:ascii="宋体" w:hAnsi="宋体" w:cs="宋体"/>
                <w:kern w:val="0"/>
                <w:sz w:val="22"/>
              </w:rPr>
              <w:t>年</w:t>
            </w:r>
            <w:r>
              <w:rPr>
                <w:rFonts w:ascii="宋体" w:hAnsi="宋体" w:cs="宋体"/>
                <w:kern w:val="0"/>
                <w:sz w:val="22"/>
              </w:rPr>
              <w:t>12</w:t>
            </w:r>
            <w:r>
              <w:rPr>
                <w:rFonts w:hint="eastAsia" w:ascii="宋体" w:hAnsi="宋体" w:cs="宋体"/>
                <w:kern w:val="0"/>
                <w:sz w:val="22"/>
              </w:rPr>
              <w:t>月</w:t>
            </w:r>
            <w:r>
              <w:rPr>
                <w:rFonts w:ascii="宋体" w:hAnsi="宋体" w:cs="宋体"/>
                <w:kern w:val="0"/>
                <w:sz w:val="22"/>
              </w:rPr>
              <w:t>31</w:t>
            </w:r>
            <w:r>
              <w:rPr>
                <w:rFonts w:hint="eastAsia" w:ascii="宋体" w:hAnsi="宋体" w:cs="宋体"/>
                <w:kern w:val="0"/>
                <w:sz w:val="22"/>
              </w:rPr>
              <w:t>日</w:t>
            </w:r>
            <w:r>
              <w:rPr>
                <w:rFonts w:ascii="宋体" w:hAnsi="宋体" w:cs="宋体"/>
                <w:kern w:val="0"/>
                <w:sz w:val="22"/>
              </w:rPr>
              <w:t xml:space="preserve">  </w:t>
            </w:r>
          </w:p>
        </w:tc>
      </w:tr>
      <w:tr>
        <w:tblPrEx>
          <w:tblCellMar>
            <w:top w:w="0" w:type="dxa"/>
            <w:left w:w="108" w:type="dxa"/>
            <w:bottom w:w="0" w:type="dxa"/>
            <w:right w:w="108" w:type="dxa"/>
          </w:tblCellMar>
        </w:tblPrEx>
        <w:trPr>
          <w:trHeight w:val="645" w:hRule="atLeast"/>
        </w:trPr>
        <w:tc>
          <w:tcPr>
            <w:tcW w:w="45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Cs/>
                <w:kern w:val="0"/>
                <w:sz w:val="22"/>
              </w:rPr>
            </w:pPr>
            <w:r>
              <w:rPr>
                <w:rFonts w:hint="eastAsia" w:ascii="宋体" w:hAnsi="宋体" w:cs="宋体"/>
                <w:bCs/>
                <w:kern w:val="0"/>
                <w:sz w:val="22"/>
              </w:rPr>
              <w:t>项</w:t>
            </w:r>
            <w:r>
              <w:rPr>
                <w:rFonts w:ascii="宋体" w:hAnsi="宋体" w:cs="宋体"/>
                <w:bCs/>
                <w:kern w:val="0"/>
                <w:sz w:val="22"/>
              </w:rPr>
              <w:t xml:space="preserve">   </w:t>
            </w:r>
            <w:r>
              <w:rPr>
                <w:rFonts w:hint="eastAsia" w:ascii="宋体" w:hAnsi="宋体" w:cs="宋体"/>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宋体" w:cs="宋体"/>
                <w:bCs/>
                <w:kern w:val="0"/>
                <w:sz w:val="22"/>
              </w:rPr>
            </w:pPr>
            <w:r>
              <w:rPr>
                <w:rFonts w:hint="eastAsia" w:ascii="宋体" w:hAnsi="宋体" w:cs="宋体"/>
                <w:bCs/>
                <w:kern w:val="0"/>
                <w:sz w:val="22"/>
              </w:rPr>
              <w:t>数量</w:t>
            </w:r>
          </w:p>
        </w:tc>
        <w:tc>
          <w:tcPr>
            <w:tcW w:w="4533" w:type="dxa"/>
            <w:tcBorders>
              <w:top w:val="single" w:color="auto" w:sz="4" w:space="0"/>
              <w:left w:val="nil"/>
              <w:bottom w:val="single" w:color="auto" w:sz="4" w:space="0"/>
              <w:right w:val="single" w:color="auto" w:sz="4" w:space="0"/>
            </w:tcBorders>
            <w:vAlign w:val="center"/>
          </w:tcPr>
          <w:p>
            <w:pPr>
              <w:widowControl/>
              <w:jc w:val="center"/>
              <w:rPr>
                <w:rFonts w:ascii="宋体" w:cs="宋体"/>
                <w:bCs/>
                <w:kern w:val="0"/>
                <w:sz w:val="22"/>
              </w:rPr>
            </w:pPr>
            <w:r>
              <w:rPr>
                <w:rFonts w:hint="eastAsia" w:ascii="宋体" w:hAnsi="宋体" w:cs="宋体"/>
                <w:bCs/>
                <w:kern w:val="0"/>
                <w:sz w:val="22"/>
              </w:rPr>
              <w:t>价值（金额单位：万元）</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2"/>
              </w:rPr>
            </w:pPr>
            <w:r>
              <w:rPr>
                <w:rFonts w:hint="eastAsia" w:ascii="宋体" w:hAnsi="宋体" w:cs="宋体"/>
                <w:kern w:val="0"/>
                <w:sz w:val="22"/>
              </w:rPr>
              <w:t>资产总额</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397.4</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1</w:t>
            </w:r>
            <w:r>
              <w:rPr>
                <w:rFonts w:hint="eastAsia" w:ascii="宋体" w:hAnsi="宋体" w:cs="宋体"/>
                <w:kern w:val="0"/>
                <w:sz w:val="22"/>
              </w:rPr>
              <w:t>、房屋（平方米）</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3839.1</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254.58</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 xml:space="preserve">   </w:t>
            </w:r>
            <w:r>
              <w:rPr>
                <w:rFonts w:hint="eastAsia" w:ascii="宋体" w:hAnsi="宋体" w:cs="宋体"/>
                <w:kern w:val="0"/>
                <w:sz w:val="2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宋体" w:cs="宋体"/>
                <w:kern w:val="0"/>
                <w:sz w:val="22"/>
                <w:lang w:val="en-US"/>
              </w:rPr>
            </w:pPr>
            <w:r>
              <w:rPr>
                <w:rFonts w:hint="eastAsia" w:ascii="宋体" w:cs="宋体"/>
                <w:kern w:val="0"/>
                <w:sz w:val="22"/>
                <w:lang w:val="en-US" w:eastAsia="zh-CN"/>
              </w:rPr>
              <w:t>3839.1</w:t>
            </w:r>
          </w:p>
        </w:tc>
        <w:tc>
          <w:tcPr>
            <w:tcW w:w="4533" w:type="dxa"/>
            <w:tcBorders>
              <w:top w:val="nil"/>
              <w:left w:val="nil"/>
              <w:bottom w:val="single" w:color="auto" w:sz="4" w:space="0"/>
              <w:right w:val="single" w:color="auto" w:sz="4" w:space="0"/>
            </w:tcBorders>
            <w:vAlign w:val="center"/>
          </w:tcPr>
          <w:p>
            <w:pPr>
              <w:widowControl/>
              <w:jc w:val="center"/>
              <w:rPr>
                <w:rFonts w:ascii="宋体" w:cs="宋体"/>
                <w:kern w:val="0"/>
                <w:sz w:val="22"/>
                <w:lang w:val="en-US"/>
              </w:rPr>
            </w:pPr>
            <w:r>
              <w:rPr>
                <w:rFonts w:hint="eastAsia" w:ascii="宋体" w:cs="宋体"/>
                <w:kern w:val="0"/>
                <w:sz w:val="22"/>
                <w:lang w:val="en-US" w:eastAsia="zh-CN"/>
              </w:rPr>
              <w:t>254.58</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2</w:t>
            </w:r>
            <w:r>
              <w:rPr>
                <w:rFonts w:hint="eastAsia" w:ascii="宋体" w:hAnsi="宋体" w:cs="宋体"/>
                <w:kern w:val="0"/>
                <w:sz w:val="22"/>
              </w:rPr>
              <w:t>、车辆（台、辆）</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3</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76</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3</w:t>
            </w:r>
            <w:r>
              <w:rPr>
                <w:rFonts w:hint="eastAsia" w:ascii="宋体" w:hAnsi="宋体" w:cs="宋体"/>
                <w:kern w:val="0"/>
                <w:sz w:val="22"/>
              </w:rPr>
              <w:t>、单价在</w:t>
            </w:r>
            <w:r>
              <w:rPr>
                <w:rFonts w:ascii="宋体" w:hAnsi="宋体" w:cs="宋体"/>
                <w:kern w:val="0"/>
                <w:sz w:val="22"/>
              </w:rPr>
              <w:t>20</w:t>
            </w:r>
            <w:r>
              <w:rPr>
                <w:rFonts w:hint="eastAsia" w:ascii="宋体" w:hAnsi="宋体" w:cs="宋体"/>
                <w:kern w:val="0"/>
                <w:sz w:val="2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eastAsia="zh-CN"/>
              </w:rPr>
            </w:pPr>
            <w:r>
              <w:rPr>
                <w:rFonts w:hint="eastAsia" w:ascii="宋体" w:cs="宋体"/>
                <w:kern w:val="0"/>
                <w:sz w:val="22"/>
                <w:lang w:val="en-US" w:eastAsia="zh-CN"/>
              </w:rPr>
              <w:t>0</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4522" w:type="dxa"/>
            <w:tcBorders>
              <w:top w:val="nil"/>
              <w:left w:val="single" w:color="auto" w:sz="4" w:space="0"/>
              <w:bottom w:val="single" w:color="auto" w:sz="4" w:space="0"/>
              <w:right w:val="single" w:color="auto" w:sz="4" w:space="0"/>
            </w:tcBorders>
            <w:vAlign w:val="center"/>
          </w:tcPr>
          <w:p>
            <w:pPr>
              <w:widowControl/>
              <w:jc w:val="left"/>
              <w:rPr>
                <w:rFonts w:ascii="宋体" w:cs="宋体"/>
                <w:kern w:val="0"/>
                <w:sz w:val="22"/>
              </w:rPr>
            </w:pPr>
            <w:r>
              <w:rPr>
                <w:rFonts w:ascii="宋体" w:hAnsi="宋体" w:cs="宋体"/>
                <w:kern w:val="0"/>
                <w:sz w:val="22"/>
              </w:rPr>
              <w:t>4</w:t>
            </w:r>
            <w:r>
              <w:rPr>
                <w:rFonts w:hint="eastAsia" w:ascii="宋体" w:hAnsi="宋体" w:cs="宋体"/>
                <w:kern w:val="0"/>
                <w:sz w:val="2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w:t>
            </w:r>
          </w:p>
        </w:tc>
        <w:tc>
          <w:tcPr>
            <w:tcW w:w="4533" w:type="dxa"/>
            <w:tcBorders>
              <w:top w:val="nil"/>
              <w:left w:val="nil"/>
              <w:bottom w:val="single" w:color="auto" w:sz="4" w:space="0"/>
              <w:right w:val="single" w:color="auto" w:sz="4" w:space="0"/>
            </w:tcBorders>
            <w:vAlign w:val="center"/>
          </w:tcPr>
          <w:p>
            <w:pPr>
              <w:widowControl/>
              <w:jc w:val="center"/>
              <w:rPr>
                <w:rFonts w:hint="eastAsia" w:ascii="宋体" w:eastAsia="宋体" w:cs="宋体"/>
                <w:kern w:val="0"/>
                <w:sz w:val="22"/>
                <w:lang w:val="en-US" w:eastAsia="zh-CN"/>
              </w:rPr>
            </w:pPr>
            <w:r>
              <w:rPr>
                <w:rFonts w:hint="eastAsia" w:ascii="宋体" w:cs="宋体"/>
                <w:kern w:val="0"/>
                <w:sz w:val="22"/>
                <w:lang w:val="en-US" w:eastAsia="zh-CN"/>
              </w:rPr>
              <w:t>66.82</w:t>
            </w:r>
          </w:p>
        </w:tc>
      </w:tr>
    </w:tbl>
    <w:p>
      <w:pPr>
        <w:keepNext w:val="0"/>
        <w:keepLines w:val="0"/>
        <w:pageBreakBefore w:val="0"/>
        <w:numPr>
          <w:ilvl w:val="0"/>
          <w:numId w:val="0"/>
        </w:numPr>
        <w:kinsoku/>
        <w:wordWrap/>
        <w:overflowPunct/>
        <w:topLinePunct w:val="0"/>
        <w:bidi w:val="0"/>
        <w:snapToGrid w:val="0"/>
        <w:spacing w:line="600" w:lineRule="exact"/>
        <w:ind w:right="0" w:rightChars="0"/>
        <w:jc w:val="left"/>
        <w:textAlignment w:val="auto"/>
        <w:rPr>
          <w:rFonts w:hint="eastAsia" w:ascii="仿宋_GB2312" w:hAnsi="仿宋_GB2312" w:eastAsia="仿宋_GB2312" w:cs="仿宋_GB2312"/>
          <w:kern w:val="2"/>
          <w:sz w:val="32"/>
          <w:szCs w:val="32"/>
          <w:lang w:val="en-US" w:eastAsia="zh-CN"/>
        </w:rPr>
      </w:pPr>
    </w:p>
    <w:p>
      <w:pPr>
        <w:keepNext w:val="0"/>
        <w:keepLines w:val="0"/>
        <w:pageBreakBefore w:val="0"/>
        <w:numPr>
          <w:ilvl w:val="0"/>
          <w:numId w:val="0"/>
        </w:numPr>
        <w:kinsoku/>
        <w:wordWrap/>
        <w:overflowPunct/>
        <w:topLinePunct w:val="0"/>
        <w:bidi w:val="0"/>
        <w:snapToGrid w:val="0"/>
        <w:spacing w:line="600" w:lineRule="exact"/>
        <w:ind w:leftChars="200" w:right="0" w:rightChars="0"/>
        <w:jc w:val="left"/>
        <w:textAlignment w:val="auto"/>
        <w:rPr>
          <w:rFonts w:ascii="楷体" w:hAnsi="楷体" w:eastAsia="楷体" w:cs="黑体"/>
          <w:b/>
          <w:sz w:val="32"/>
          <w:szCs w:val="32"/>
        </w:rPr>
      </w:pPr>
      <w:r>
        <w:rPr>
          <w:rFonts w:hint="eastAsia" w:ascii="楷体" w:hAnsi="楷体" w:eastAsia="楷体" w:cs="黑体"/>
          <w:b/>
          <w:sz w:val="32"/>
          <w:szCs w:val="32"/>
          <w:lang w:eastAsia="zh-CN"/>
        </w:rPr>
        <w:t>（</w:t>
      </w:r>
      <w:r>
        <w:rPr>
          <w:rFonts w:hint="eastAsia" w:ascii="楷体" w:hAnsi="楷体" w:eastAsia="楷体" w:cs="黑体"/>
          <w:b/>
          <w:sz w:val="32"/>
          <w:szCs w:val="32"/>
          <w:lang w:val="en-US" w:eastAsia="zh-CN"/>
        </w:rPr>
        <w:t>四</w:t>
      </w:r>
      <w:r>
        <w:rPr>
          <w:rFonts w:hint="eastAsia" w:ascii="楷体" w:hAnsi="楷体" w:eastAsia="楷体" w:cs="黑体"/>
          <w:b/>
          <w:sz w:val="32"/>
          <w:szCs w:val="32"/>
          <w:lang w:eastAsia="zh-CN"/>
        </w:rPr>
        <w:t>）</w:t>
      </w:r>
      <w:r>
        <w:rPr>
          <w:rFonts w:ascii="楷体" w:hAnsi="楷体" w:eastAsia="楷体" w:cs="黑体"/>
          <w:b/>
          <w:sz w:val="32"/>
          <w:szCs w:val="32"/>
        </w:rPr>
        <w:t>其他需要说明的情况</w:t>
      </w:r>
    </w:p>
    <w:p>
      <w:pPr>
        <w:widowControl/>
        <w:shd w:val="clear" w:color="auto" w:fill="FFFFFF"/>
        <w:spacing w:line="54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1、本部门2017年度国有资本经营预算无收支及结转结余情况，故国有资本经营预算收支表以空表列示。</w:t>
      </w:r>
    </w:p>
    <w:p>
      <w:pPr>
        <w:keepNext w:val="0"/>
        <w:keepLines w:val="0"/>
        <w:pageBreakBefore w:val="0"/>
        <w:numPr>
          <w:ilvl w:val="0"/>
          <w:numId w:val="0"/>
        </w:numPr>
        <w:kinsoku/>
        <w:wordWrap/>
        <w:overflowPunct/>
        <w:topLinePunct w:val="0"/>
        <w:bidi w:val="0"/>
        <w:snapToGrid w:val="0"/>
        <w:spacing w:line="600" w:lineRule="exact"/>
        <w:ind w:right="0" w:rightChars="0" w:firstLine="640" w:firstLineChars="200"/>
        <w:jc w:val="left"/>
        <w:textAlignment w:val="auto"/>
        <w:rPr>
          <w:rFonts w:hint="eastAsia" w:ascii="楷体" w:hAnsi="楷体" w:eastAsia="楷体" w:cs="黑体"/>
          <w:b/>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color w:val="000000"/>
          <w:kern w:val="0"/>
          <w:sz w:val="32"/>
          <w:szCs w:val="32"/>
        </w:rPr>
        <w:t>由于决算公开表格中金额数值应当保留两位小数，公开数据为四舍五入计算结果，个别数据合计项与分项之和存在小数点后差额，特此说明。</w:t>
      </w:r>
    </w:p>
    <w:p>
      <w:pPr>
        <w:spacing w:line="600" w:lineRule="exact"/>
        <w:jc w:val="center"/>
        <w:rPr>
          <w:rFonts w:ascii="仿宋" w:hAnsi="仿宋" w:eastAsia="仿宋" w:cstheme="minorBidi"/>
          <w:sz w:val="32"/>
          <w:szCs w:val="32"/>
        </w:rPr>
      </w:pPr>
      <w:r>
        <w:rPr>
          <w:rFonts w:hint="eastAsia" w:ascii="黑体" w:hAnsi="黑体" w:eastAsia="黑体"/>
          <w:b/>
          <w:sz w:val="32"/>
          <w:szCs w:val="32"/>
        </w:rPr>
        <w:t>第四部分  名词</w:t>
      </w:r>
      <w:r>
        <w:rPr>
          <w:rFonts w:ascii="黑体" w:hAnsi="黑体" w:eastAsia="黑体"/>
          <w:b/>
          <w:sz w:val="32"/>
          <w:szCs w:val="32"/>
        </w:rPr>
        <w:t>解释</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（一）财政拨款收入：</w:t>
      </w:r>
      <w:r>
        <w:rPr>
          <w:rFonts w:hint="eastAsia" w:ascii="仿宋_GB2312" w:hAnsi="仿宋_GB2312" w:eastAsia="仿宋_GB2312" w:cs="仿宋_GB2312"/>
          <w:color w:val="000000"/>
          <w:kern w:val="0"/>
          <w:sz w:val="32"/>
          <w:szCs w:val="32"/>
        </w:rPr>
        <w:t>本年度从本级财政部门取得的财政拨款，包括一般公共预算财政拨款和政府性基金预算财政拨款。</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（二）事业收入：</w:t>
      </w:r>
      <w:r>
        <w:rPr>
          <w:rFonts w:hint="eastAsia" w:ascii="仿宋_GB2312" w:hAnsi="仿宋_GB2312" w:eastAsia="仿宋_GB2312" w:cs="仿宋_GB2312"/>
          <w:color w:val="000000"/>
          <w:kern w:val="0"/>
          <w:sz w:val="32"/>
          <w:szCs w:val="32"/>
        </w:rPr>
        <w:t>指事业单位开展专业业务活动及辅助活动所取得的收入。</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（三）其他收入</w:t>
      </w:r>
      <w:r>
        <w:rPr>
          <w:rFonts w:hint="eastAsia" w:ascii="仿宋_GB2312" w:hAnsi="仿宋_GB2312" w:eastAsia="仿宋_GB2312" w:cs="仿宋_GB2312"/>
          <w:color w:val="000000"/>
          <w:kern w:val="0"/>
          <w:sz w:val="32"/>
          <w:szCs w:val="32"/>
        </w:rPr>
        <w:t>：指除上述“财政拨款收入”、“事业收入”、“经营收入”等以外的收入。</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（四）用事业基金弥补收支差额：</w:t>
      </w:r>
      <w:r>
        <w:rPr>
          <w:rFonts w:hint="eastAsia" w:ascii="仿宋_GB2312" w:hAnsi="仿宋_GB2312" w:eastAsia="仿宋_GB2312" w:cs="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（五）年初结转和结余</w:t>
      </w:r>
      <w:r>
        <w:rPr>
          <w:rFonts w:hint="eastAsia" w:ascii="仿宋_GB2312" w:hAnsi="仿宋_GB2312" w:eastAsia="仿宋_GB2312" w:cs="仿宋_GB2312"/>
          <w:color w:val="000000"/>
          <w:kern w:val="0"/>
          <w:sz w:val="32"/>
          <w:szCs w:val="32"/>
        </w:rPr>
        <w:t>：指以前年度尚未完成、结转到本年仍按原规定用途继续使用的资金，或项目已完成等产生的结余资金。</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（六）结余分配：</w:t>
      </w:r>
      <w:r>
        <w:rPr>
          <w:rFonts w:hint="eastAsia" w:ascii="仿宋_GB2312" w:hAnsi="仿宋_GB2312" w:eastAsia="仿宋_GB2312" w:cs="仿宋_GB2312"/>
          <w:color w:val="000000"/>
          <w:kern w:val="0"/>
          <w:sz w:val="32"/>
          <w:szCs w:val="32"/>
        </w:rPr>
        <w:t>指事业单位按照事业单位会计制度的规定从非财政补助结余中分配的事业基金和职工福利基金等。</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（七）年末结转和结余：</w:t>
      </w:r>
      <w:r>
        <w:rPr>
          <w:rFonts w:hint="eastAsia" w:ascii="仿宋_GB2312" w:hAnsi="仿宋_GB2312" w:eastAsia="仿宋_GB2312" w:cs="仿宋_GB2312"/>
          <w:color w:val="000000"/>
          <w:kern w:val="0"/>
          <w:sz w:val="32"/>
          <w:szCs w:val="32"/>
        </w:rPr>
        <w:t>指单位按有关规定结转到下年或以后年度继续使用的资金，或项目已完成等产生的结余资金。</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（八）基本支出：</w:t>
      </w:r>
      <w:r>
        <w:rPr>
          <w:rFonts w:hint="eastAsia" w:ascii="仿宋_GB2312" w:hAnsi="仿宋_GB2312" w:eastAsia="仿宋_GB2312" w:cs="仿宋_GB2312"/>
          <w:color w:val="000000"/>
          <w:kern w:val="0"/>
          <w:sz w:val="32"/>
          <w:szCs w:val="32"/>
        </w:rPr>
        <w:t>填列单位为保障机构正常运转、完成日常工作任务而发生的各项支出。</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（九）项目支出：</w:t>
      </w:r>
      <w:r>
        <w:rPr>
          <w:rFonts w:hint="eastAsia" w:ascii="仿宋_GB2312" w:hAnsi="仿宋_GB2312" w:eastAsia="仿宋_GB2312" w:cs="仿宋_GB2312"/>
          <w:color w:val="000000"/>
          <w:kern w:val="0"/>
          <w:sz w:val="32"/>
          <w:szCs w:val="32"/>
        </w:rPr>
        <w:t>填列单位为完成特定的行政工作任务或事业发展目标，在基本支出之外发生的各项支出</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（十）基本建设支出：</w:t>
      </w:r>
      <w:r>
        <w:rPr>
          <w:rFonts w:hint="eastAsia" w:ascii="仿宋_GB2312" w:hAnsi="仿宋_GB2312" w:eastAsia="仿宋_GB2312" w:cs="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（十一）其他资本性支出</w:t>
      </w:r>
      <w:r>
        <w:rPr>
          <w:rFonts w:hint="eastAsia" w:ascii="仿宋_GB2312" w:hAnsi="仿宋_GB2312" w:eastAsia="仿宋_GB2312" w:cs="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（十二）“三公”经费：</w:t>
      </w:r>
      <w:r>
        <w:rPr>
          <w:rFonts w:hint="eastAsia" w:ascii="仿宋_GB2312" w:hAnsi="仿宋_GB2312" w:eastAsia="仿宋_GB2312" w:cs="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（十三）其他交通费用</w:t>
      </w:r>
      <w:r>
        <w:rPr>
          <w:rFonts w:hint="eastAsia" w:ascii="仿宋_GB2312" w:hAnsi="仿宋_GB2312" w:eastAsia="仿宋_GB2312" w:cs="仿宋_GB2312"/>
          <w:color w:val="000000"/>
          <w:kern w:val="0"/>
          <w:sz w:val="32"/>
          <w:szCs w:val="32"/>
        </w:rPr>
        <w:t>：填列单位除公务用车运行维护费以外的其他交通费用。如飞机、船舶等的燃料费、维修费、过桥过路费、保险费、出租车费用、公务交通补贴等。</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（十四）公务用车购置：</w:t>
      </w:r>
      <w:r>
        <w:rPr>
          <w:rFonts w:hint="eastAsia" w:ascii="仿宋_GB2312" w:hAnsi="仿宋_GB2312" w:eastAsia="仿宋_GB2312" w:cs="仿宋_GB2312"/>
          <w:color w:val="000000"/>
          <w:kern w:val="0"/>
          <w:sz w:val="32"/>
          <w:szCs w:val="32"/>
        </w:rPr>
        <w:t>填列单位公务用车车辆购置支出（含车辆购置税）。</w:t>
      </w:r>
    </w:p>
    <w:p>
      <w:pPr>
        <w:widowControl/>
        <w:shd w:val="clear" w:color="auto" w:fill="FFFFFF"/>
        <w:spacing w:line="540" w:lineRule="exact"/>
        <w:ind w:firstLine="643"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color w:val="000000"/>
          <w:kern w:val="0"/>
          <w:sz w:val="32"/>
          <w:szCs w:val="32"/>
        </w:rPr>
        <w:t>（十五）其他交通工具购置</w:t>
      </w:r>
      <w:r>
        <w:rPr>
          <w:rFonts w:hint="eastAsia" w:ascii="仿宋_GB2312" w:hAnsi="仿宋_GB2312" w:eastAsia="仿宋_GB2312" w:cs="仿宋_GB2312"/>
          <w:color w:val="000000"/>
          <w:kern w:val="0"/>
          <w:sz w:val="32"/>
          <w:szCs w:val="32"/>
        </w:rPr>
        <w:t>：填列单位除公务用车外的其他各类交通工具（如船舶、飞机）购置支出（含车辆购置税）。</w:t>
      </w:r>
    </w:p>
    <w:p>
      <w:pPr>
        <w:widowControl/>
        <w:shd w:val="clear" w:color="auto" w:fill="FFFFFF"/>
        <w:adjustRightInd w:val="0"/>
        <w:snapToGrid w:val="0"/>
        <w:spacing w:line="540" w:lineRule="exact"/>
        <w:ind w:firstLine="643"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（十六） 机关运行经费</w:t>
      </w:r>
      <w:r>
        <w:rPr>
          <w:rFonts w:hint="eastAsia" w:ascii="仿宋_GB2312" w:hAnsi="仿宋_GB2312" w:eastAsia="仿宋_GB2312" w:cs="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keepNext w:val="0"/>
        <w:keepLines w:val="0"/>
        <w:pageBreakBefore w:val="0"/>
        <w:numPr>
          <w:ilvl w:val="0"/>
          <w:numId w:val="0"/>
        </w:numPr>
        <w:kinsoku/>
        <w:wordWrap/>
        <w:overflowPunct/>
        <w:topLinePunct w:val="0"/>
        <w:bidi w:val="0"/>
        <w:snapToGrid w:val="0"/>
        <w:spacing w:line="600" w:lineRule="exact"/>
        <w:ind w:right="0" w:rightChars="0" w:firstLine="643" w:firstLineChars="200"/>
        <w:jc w:val="left"/>
        <w:textAlignment w:val="auto"/>
        <w:rPr>
          <w:rFonts w:hint="eastAsia" w:ascii="仿宋_GB2312" w:hAnsi="仿宋_GB2312" w:eastAsia="仿宋_GB2312" w:cs="仿宋_GB2312"/>
          <w:b/>
          <w:kern w:val="2"/>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5D318F"/>
    <w:multiLevelType w:val="singleLevel"/>
    <w:tmpl w:val="D25D318F"/>
    <w:lvl w:ilvl="0" w:tentative="0">
      <w:start w:val="2"/>
      <w:numFmt w:val="chineseCounting"/>
      <w:suff w:val="nothing"/>
      <w:lvlText w:val="%1、"/>
      <w:lvlJc w:val="left"/>
      <w:rPr>
        <w:rFonts w:hint="eastAsia"/>
      </w:rPr>
    </w:lvl>
  </w:abstractNum>
  <w:abstractNum w:abstractNumId="1">
    <w:nsid w:val="2DD7CA72"/>
    <w:multiLevelType w:val="singleLevel"/>
    <w:tmpl w:val="2DD7CA72"/>
    <w:lvl w:ilvl="0" w:tentative="0">
      <w:start w:val="2"/>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E3MTIzOTk3Yjk5ZGNjMzU3OWRiYjk2OGUyMjlkNDkifQ=="/>
  </w:docVars>
  <w:rsids>
    <w:rsidRoot w:val="00AA4879"/>
    <w:rsid w:val="00004686"/>
    <w:rsid w:val="0002023E"/>
    <w:rsid w:val="000278F6"/>
    <w:rsid w:val="00043E20"/>
    <w:rsid w:val="00055E55"/>
    <w:rsid w:val="00082ED0"/>
    <w:rsid w:val="000A6134"/>
    <w:rsid w:val="000B69F5"/>
    <w:rsid w:val="00115C92"/>
    <w:rsid w:val="001A15A4"/>
    <w:rsid w:val="001A795D"/>
    <w:rsid w:val="001D61CC"/>
    <w:rsid w:val="001F5714"/>
    <w:rsid w:val="002366A1"/>
    <w:rsid w:val="00257EF5"/>
    <w:rsid w:val="002E3A6E"/>
    <w:rsid w:val="00307993"/>
    <w:rsid w:val="00425292"/>
    <w:rsid w:val="004B3763"/>
    <w:rsid w:val="004D493D"/>
    <w:rsid w:val="00501B3B"/>
    <w:rsid w:val="00511D6B"/>
    <w:rsid w:val="00516644"/>
    <w:rsid w:val="005226D8"/>
    <w:rsid w:val="005441D3"/>
    <w:rsid w:val="00570901"/>
    <w:rsid w:val="005C1117"/>
    <w:rsid w:val="005C5CC3"/>
    <w:rsid w:val="005D1505"/>
    <w:rsid w:val="005F4D48"/>
    <w:rsid w:val="0064094B"/>
    <w:rsid w:val="006436ED"/>
    <w:rsid w:val="0064483A"/>
    <w:rsid w:val="00661EC8"/>
    <w:rsid w:val="006622A9"/>
    <w:rsid w:val="006905B9"/>
    <w:rsid w:val="00695443"/>
    <w:rsid w:val="006A2DCB"/>
    <w:rsid w:val="006A7234"/>
    <w:rsid w:val="007D2AF7"/>
    <w:rsid w:val="007D7899"/>
    <w:rsid w:val="008621CB"/>
    <w:rsid w:val="008D3C57"/>
    <w:rsid w:val="008E231E"/>
    <w:rsid w:val="009261D1"/>
    <w:rsid w:val="009B0792"/>
    <w:rsid w:val="009E18E0"/>
    <w:rsid w:val="009F2ED0"/>
    <w:rsid w:val="00A4128F"/>
    <w:rsid w:val="00A43CD9"/>
    <w:rsid w:val="00A763B4"/>
    <w:rsid w:val="00AA4879"/>
    <w:rsid w:val="00AA6C1B"/>
    <w:rsid w:val="00AC435A"/>
    <w:rsid w:val="00AF259F"/>
    <w:rsid w:val="00AF42FA"/>
    <w:rsid w:val="00B3095B"/>
    <w:rsid w:val="00B433F0"/>
    <w:rsid w:val="00BD632C"/>
    <w:rsid w:val="00BE07C1"/>
    <w:rsid w:val="00BF15F5"/>
    <w:rsid w:val="00C127F9"/>
    <w:rsid w:val="00DB3F1A"/>
    <w:rsid w:val="00DC0A7A"/>
    <w:rsid w:val="00DC53E2"/>
    <w:rsid w:val="00DF590E"/>
    <w:rsid w:val="00E13544"/>
    <w:rsid w:val="00E46F9D"/>
    <w:rsid w:val="00EC2CA4"/>
    <w:rsid w:val="00EC3D74"/>
    <w:rsid w:val="00EE0B06"/>
    <w:rsid w:val="00EF21B4"/>
    <w:rsid w:val="00EF2E46"/>
    <w:rsid w:val="00F02180"/>
    <w:rsid w:val="00F240FD"/>
    <w:rsid w:val="00F25C54"/>
    <w:rsid w:val="00F41A31"/>
    <w:rsid w:val="00F45C49"/>
    <w:rsid w:val="00F87354"/>
    <w:rsid w:val="00F91410"/>
    <w:rsid w:val="00FB1826"/>
    <w:rsid w:val="00FD3FED"/>
    <w:rsid w:val="00FE11FA"/>
    <w:rsid w:val="04BE5557"/>
    <w:rsid w:val="08713884"/>
    <w:rsid w:val="0A477751"/>
    <w:rsid w:val="0C8E695A"/>
    <w:rsid w:val="0CF55422"/>
    <w:rsid w:val="0D825AE7"/>
    <w:rsid w:val="0EA34603"/>
    <w:rsid w:val="0F4813FA"/>
    <w:rsid w:val="0FAA47B6"/>
    <w:rsid w:val="11A818E0"/>
    <w:rsid w:val="11AD5088"/>
    <w:rsid w:val="12553482"/>
    <w:rsid w:val="141D09CB"/>
    <w:rsid w:val="146429F6"/>
    <w:rsid w:val="14CC2A4E"/>
    <w:rsid w:val="16F900B1"/>
    <w:rsid w:val="17A26D86"/>
    <w:rsid w:val="18DB0E09"/>
    <w:rsid w:val="1A0A49EE"/>
    <w:rsid w:val="1AB779D8"/>
    <w:rsid w:val="1B566B25"/>
    <w:rsid w:val="1B610C3B"/>
    <w:rsid w:val="1BA63530"/>
    <w:rsid w:val="1BE10583"/>
    <w:rsid w:val="1D725E5C"/>
    <w:rsid w:val="1F2B12DE"/>
    <w:rsid w:val="22E33457"/>
    <w:rsid w:val="22EC4EF2"/>
    <w:rsid w:val="231A49CF"/>
    <w:rsid w:val="255C3DE6"/>
    <w:rsid w:val="26123B96"/>
    <w:rsid w:val="26BE0642"/>
    <w:rsid w:val="278A321B"/>
    <w:rsid w:val="27AF068A"/>
    <w:rsid w:val="28633901"/>
    <w:rsid w:val="28CF7E9C"/>
    <w:rsid w:val="292F1518"/>
    <w:rsid w:val="29C90B96"/>
    <w:rsid w:val="2B0B19BD"/>
    <w:rsid w:val="2B3E5A90"/>
    <w:rsid w:val="2B5D055E"/>
    <w:rsid w:val="2C1466FF"/>
    <w:rsid w:val="2DA65BA2"/>
    <w:rsid w:val="2E135AC2"/>
    <w:rsid w:val="2ED10BE8"/>
    <w:rsid w:val="2EE16A37"/>
    <w:rsid w:val="2FFC1417"/>
    <w:rsid w:val="31122394"/>
    <w:rsid w:val="31E560DA"/>
    <w:rsid w:val="338536FF"/>
    <w:rsid w:val="3406748A"/>
    <w:rsid w:val="34EB0277"/>
    <w:rsid w:val="35374340"/>
    <w:rsid w:val="35F24DEB"/>
    <w:rsid w:val="36431007"/>
    <w:rsid w:val="397B2E91"/>
    <w:rsid w:val="3A484C97"/>
    <w:rsid w:val="3BDB044D"/>
    <w:rsid w:val="3D6F30A0"/>
    <w:rsid w:val="4053556C"/>
    <w:rsid w:val="4183423C"/>
    <w:rsid w:val="42493060"/>
    <w:rsid w:val="428E02EE"/>
    <w:rsid w:val="43DE76B1"/>
    <w:rsid w:val="44AC1EF2"/>
    <w:rsid w:val="466F4E35"/>
    <w:rsid w:val="47172336"/>
    <w:rsid w:val="49D210D8"/>
    <w:rsid w:val="4BC17017"/>
    <w:rsid w:val="4CBF7659"/>
    <w:rsid w:val="4F4A4D14"/>
    <w:rsid w:val="502A5547"/>
    <w:rsid w:val="524C00AD"/>
    <w:rsid w:val="53C80194"/>
    <w:rsid w:val="55922818"/>
    <w:rsid w:val="570E6890"/>
    <w:rsid w:val="572A1314"/>
    <w:rsid w:val="5B070C14"/>
    <w:rsid w:val="5B7D3406"/>
    <w:rsid w:val="5D530D55"/>
    <w:rsid w:val="5DAB2338"/>
    <w:rsid w:val="5F662A40"/>
    <w:rsid w:val="5FFE3B93"/>
    <w:rsid w:val="617F2337"/>
    <w:rsid w:val="61E46DF8"/>
    <w:rsid w:val="61FC7BB0"/>
    <w:rsid w:val="636826C6"/>
    <w:rsid w:val="63D21AC9"/>
    <w:rsid w:val="655252C9"/>
    <w:rsid w:val="6694232B"/>
    <w:rsid w:val="67072C83"/>
    <w:rsid w:val="670F1019"/>
    <w:rsid w:val="685331AD"/>
    <w:rsid w:val="68EB7738"/>
    <w:rsid w:val="69F17256"/>
    <w:rsid w:val="6BD847CC"/>
    <w:rsid w:val="6C6F608F"/>
    <w:rsid w:val="6C876F98"/>
    <w:rsid w:val="6C971DA4"/>
    <w:rsid w:val="6D8C5CCE"/>
    <w:rsid w:val="6E11586C"/>
    <w:rsid w:val="7432114B"/>
    <w:rsid w:val="749E169E"/>
    <w:rsid w:val="75195145"/>
    <w:rsid w:val="75B636BE"/>
    <w:rsid w:val="77D44C8D"/>
    <w:rsid w:val="781A7995"/>
    <w:rsid w:val="78787121"/>
    <w:rsid w:val="78F3010B"/>
    <w:rsid w:val="79910227"/>
    <w:rsid w:val="7D333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99"/>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character" w:customStyle="1" w:styleId="10">
    <w:name w:val="apple-converted-space"/>
    <w:basedOn w:val="6"/>
    <w:qFormat/>
    <w:uiPriority w:val="99"/>
    <w:rPr>
      <w:rFonts w:cs="Times New Roman"/>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A2ED9-7971-4185-ABB5-9A9422C14D27}">
  <ds:schemaRefs/>
</ds:datastoreItem>
</file>

<file path=docProps/app.xml><?xml version="1.0" encoding="utf-8"?>
<Properties xmlns="http://schemas.openxmlformats.org/officeDocument/2006/extended-properties" xmlns:vt="http://schemas.openxmlformats.org/officeDocument/2006/docPropsVTypes">
  <Template>Normal</Template>
  <Company>ra</Company>
  <Pages>10</Pages>
  <Words>602</Words>
  <Characters>3434</Characters>
  <Lines>28</Lines>
  <Paragraphs>8</Paragraphs>
  <TotalTime>2</TotalTime>
  <ScaleCrop>false</ScaleCrop>
  <LinksUpToDate>false</LinksUpToDate>
  <CharactersWithSpaces>4028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2017-10-24T02:27:00Z</dcterms:created>
  <dc:creator>Administrator</dc:creator>
  <cp:lastModifiedBy>Administrator</cp:lastModifiedBy>
  <dcterms:modified xsi:type="dcterms:W3CDTF">2023-11-09T06:29:03Z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41536D438D324558B75D9EFAC92471CC_12</vt:lpwstr>
  </property>
</Properties>
</file>